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347" w:rsidRDefault="009414C0">
      <w:pPr>
        <w:pStyle w:val="Header"/>
        <w:tabs>
          <w:tab w:val="clear" w:pos="4536"/>
        </w:tabs>
        <w:snapToGrid w:val="0"/>
        <w:rPr>
          <w:rFonts w:eastAsia="宋体"/>
          <w:szCs w:val="20"/>
          <w:lang w:eastAsia="zh-CN"/>
        </w:rPr>
      </w:pPr>
      <w:r>
        <w:rPr>
          <w:szCs w:val="20"/>
        </w:rPr>
        <w:t>3GPP TSG RAN WG1</w:t>
      </w:r>
      <w:r>
        <w:rPr>
          <w:rFonts w:asciiTheme="minorEastAsia" w:eastAsiaTheme="minorEastAsia" w:hAnsiTheme="minorEastAsia" w:hint="eastAsia"/>
          <w:szCs w:val="20"/>
          <w:lang w:eastAsia="zh-CN"/>
        </w:rPr>
        <w:t xml:space="preserve"> </w:t>
      </w:r>
      <w:r>
        <w:rPr>
          <w:szCs w:val="20"/>
        </w:rPr>
        <w:t>Meeting #96bis</w:t>
      </w:r>
      <w:r>
        <w:rPr>
          <w:rFonts w:hint="eastAsia"/>
          <w:szCs w:val="20"/>
        </w:rPr>
        <w:t xml:space="preserve">                                        </w:t>
      </w:r>
      <w:r>
        <w:rPr>
          <w:szCs w:val="20"/>
        </w:rPr>
        <w:t xml:space="preserve">               </w:t>
      </w:r>
      <w:r>
        <w:rPr>
          <w:rFonts w:hint="eastAsia"/>
          <w:szCs w:val="20"/>
        </w:rPr>
        <w:t xml:space="preserve">             </w:t>
      </w:r>
      <w:r>
        <w:rPr>
          <w:rFonts w:eastAsia="宋体" w:hint="eastAsia"/>
          <w:szCs w:val="20"/>
          <w:lang w:eastAsia="zh-CN"/>
        </w:rPr>
        <w:t xml:space="preserve"> </w:t>
      </w:r>
      <w:r>
        <w:rPr>
          <w:rFonts w:eastAsia="宋体"/>
          <w:szCs w:val="20"/>
          <w:lang w:eastAsia="zh-CN"/>
        </w:rPr>
        <w:t xml:space="preserve">              </w:t>
      </w:r>
      <w:r>
        <w:rPr>
          <w:szCs w:val="20"/>
        </w:rPr>
        <w:t>R1-1</w:t>
      </w:r>
      <w:r>
        <w:rPr>
          <w:rFonts w:eastAsia="宋体"/>
          <w:szCs w:val="20"/>
          <w:lang w:eastAsia="zh-CN"/>
        </w:rPr>
        <w:t>904017</w:t>
      </w:r>
    </w:p>
    <w:p w:rsidR="00867347" w:rsidRDefault="009414C0">
      <w:pPr>
        <w:snapToGrid w:val="0"/>
        <w:spacing w:line="240" w:lineRule="auto"/>
        <w:rPr>
          <w:rFonts w:ascii="Arial" w:eastAsia="MS Mincho" w:hAnsi="Arial"/>
          <w:b/>
          <w:sz w:val="20"/>
          <w:szCs w:val="20"/>
          <w:lang w:eastAsia="en-US"/>
        </w:rPr>
      </w:pPr>
      <w:r>
        <w:rPr>
          <w:rFonts w:ascii="Arial" w:hAnsi="Arial"/>
          <w:b/>
          <w:sz w:val="20"/>
          <w:szCs w:val="20"/>
        </w:rPr>
        <w:t>Xi’an</w:t>
      </w:r>
      <w:r>
        <w:rPr>
          <w:rFonts w:ascii="Arial" w:hAnsi="Arial" w:hint="eastAsia"/>
          <w:b/>
          <w:sz w:val="20"/>
          <w:szCs w:val="20"/>
          <w:lang w:eastAsia="ja-JP"/>
        </w:rPr>
        <w:t>,</w:t>
      </w:r>
      <w:r>
        <w:rPr>
          <w:rFonts w:ascii="Arial" w:hAnsi="Arial"/>
          <w:b/>
          <w:sz w:val="20"/>
          <w:szCs w:val="20"/>
          <w:lang w:eastAsia="ja-JP"/>
        </w:rPr>
        <w:t xml:space="preserve"> China,</w:t>
      </w:r>
      <w:r>
        <w:rPr>
          <w:rFonts w:ascii="Arial" w:hAnsi="Arial" w:hint="eastAsia"/>
          <w:b/>
          <w:sz w:val="20"/>
          <w:szCs w:val="20"/>
          <w:lang w:eastAsia="ja-JP"/>
        </w:rPr>
        <w:t xml:space="preserve"> </w:t>
      </w:r>
      <w:r>
        <w:rPr>
          <w:rFonts w:ascii="Arial" w:hAnsi="Arial"/>
          <w:b/>
          <w:sz w:val="20"/>
          <w:szCs w:val="20"/>
          <w:lang w:eastAsia="ja-JP"/>
        </w:rPr>
        <w:t>8</w:t>
      </w:r>
      <w:r>
        <w:rPr>
          <w:rFonts w:ascii="Arial" w:hAnsi="Arial"/>
          <w:b/>
          <w:sz w:val="20"/>
          <w:szCs w:val="20"/>
          <w:vertAlign w:val="superscript"/>
          <w:lang w:eastAsia="ja-JP"/>
        </w:rPr>
        <w:t>th</w:t>
      </w:r>
      <w:r>
        <w:rPr>
          <w:rFonts w:ascii="Arial" w:hAnsi="Arial"/>
          <w:b/>
          <w:sz w:val="20"/>
          <w:szCs w:val="20"/>
          <w:lang w:eastAsia="ja-JP"/>
        </w:rPr>
        <w:t xml:space="preserve"> </w:t>
      </w:r>
      <w:r>
        <w:rPr>
          <w:rFonts w:ascii="Arial" w:hAnsi="Arial" w:cs="Arial"/>
          <w:b/>
          <w:sz w:val="20"/>
          <w:szCs w:val="20"/>
          <w:lang w:eastAsia="ja-JP"/>
        </w:rPr>
        <w:t>–</w:t>
      </w:r>
      <w:r>
        <w:rPr>
          <w:rFonts w:ascii="Arial" w:hAnsi="Arial" w:hint="eastAsia"/>
          <w:b/>
          <w:sz w:val="20"/>
          <w:szCs w:val="20"/>
        </w:rPr>
        <w:t xml:space="preserve"> </w:t>
      </w:r>
      <w:r>
        <w:rPr>
          <w:rFonts w:ascii="Arial" w:hAnsi="Arial"/>
          <w:b/>
          <w:sz w:val="20"/>
          <w:szCs w:val="20"/>
        </w:rPr>
        <w:t>12</w:t>
      </w:r>
      <w:r>
        <w:rPr>
          <w:rFonts w:ascii="Arial" w:hAnsi="Arial"/>
          <w:b/>
          <w:sz w:val="20"/>
          <w:szCs w:val="20"/>
          <w:vertAlign w:val="superscript"/>
        </w:rPr>
        <w:t>th</w:t>
      </w:r>
      <w:r>
        <w:rPr>
          <w:rFonts w:ascii="Arial" w:hAnsi="Arial"/>
          <w:b/>
          <w:sz w:val="20"/>
          <w:szCs w:val="20"/>
        </w:rPr>
        <w:t xml:space="preserve"> April</w:t>
      </w:r>
      <w:r>
        <w:rPr>
          <w:rFonts w:ascii="Arial" w:hAnsi="Arial" w:hint="eastAsia"/>
          <w:b/>
          <w:sz w:val="20"/>
          <w:szCs w:val="20"/>
          <w:lang w:eastAsia="ja-JP"/>
        </w:rPr>
        <w:t>, 201</w:t>
      </w:r>
      <w:r>
        <w:rPr>
          <w:rFonts w:ascii="Arial" w:hAnsi="Arial"/>
          <w:b/>
          <w:sz w:val="20"/>
          <w:szCs w:val="20"/>
          <w:lang w:eastAsia="ja-JP"/>
        </w:rPr>
        <w:t>9</w:t>
      </w:r>
    </w:p>
    <w:p w:rsidR="00867347" w:rsidRDefault="009414C0">
      <w:pPr>
        <w:snapToGrid w:val="0"/>
        <w:spacing w:after="0" w:line="240" w:lineRule="auto"/>
        <w:rPr>
          <w:rFonts w:ascii="Arial" w:eastAsia="MS Mincho" w:hAnsi="Arial"/>
          <w:b/>
          <w:sz w:val="20"/>
          <w:szCs w:val="20"/>
          <w:lang w:eastAsia="ja-JP"/>
        </w:rPr>
      </w:pPr>
      <w:r>
        <w:rPr>
          <w:rFonts w:ascii="Arial" w:eastAsia="MS Mincho" w:hAnsi="Arial" w:hint="eastAsia"/>
          <w:b/>
          <w:sz w:val="20"/>
          <w:szCs w:val="20"/>
          <w:lang w:eastAsia="ja-JP"/>
        </w:rPr>
        <w:t>Source:              ZTE</w:t>
      </w:r>
    </w:p>
    <w:p w:rsidR="00867347" w:rsidRDefault="009414C0">
      <w:pPr>
        <w:pStyle w:val="Header"/>
        <w:tabs>
          <w:tab w:val="clear" w:pos="4536"/>
        </w:tabs>
        <w:snapToGrid w:val="0"/>
        <w:rPr>
          <w:rFonts w:eastAsia="宋体"/>
          <w:szCs w:val="20"/>
          <w:lang w:eastAsia="zh-CN"/>
        </w:rPr>
      </w:pPr>
      <w:r>
        <w:rPr>
          <w:rFonts w:eastAsia="宋体"/>
          <w:szCs w:val="20"/>
          <w:lang w:eastAsia="zh-CN"/>
        </w:rPr>
        <w:t>Title:</w:t>
      </w:r>
      <w:r>
        <w:rPr>
          <w:rFonts w:eastAsia="宋体" w:hint="eastAsia"/>
          <w:szCs w:val="20"/>
          <w:lang w:eastAsia="zh-CN"/>
        </w:rPr>
        <w:t xml:space="preserve">                   </w:t>
      </w:r>
      <w:r>
        <w:rPr>
          <w:szCs w:val="20"/>
        </w:rPr>
        <w:t>Evaluation results on alternatives for higher rank Type II compression CSI</w:t>
      </w:r>
    </w:p>
    <w:p w:rsidR="00867347" w:rsidRDefault="009414C0">
      <w:pPr>
        <w:pStyle w:val="Header"/>
        <w:tabs>
          <w:tab w:val="clear" w:pos="4536"/>
        </w:tabs>
        <w:snapToGrid w:val="0"/>
        <w:rPr>
          <w:rFonts w:eastAsia="宋体"/>
          <w:szCs w:val="20"/>
          <w:lang w:eastAsia="zh-CN"/>
        </w:rPr>
      </w:pPr>
      <w:r>
        <w:rPr>
          <w:rFonts w:eastAsia="宋体"/>
          <w:szCs w:val="20"/>
          <w:lang w:eastAsia="zh-CN"/>
        </w:rPr>
        <w:t>Agenda Item:</w:t>
      </w:r>
      <w:bookmarkStart w:id="0" w:name="Source"/>
      <w:bookmarkEnd w:id="0"/>
      <w:r>
        <w:rPr>
          <w:rFonts w:eastAsia="宋体" w:hint="eastAsia"/>
          <w:szCs w:val="20"/>
          <w:lang w:eastAsia="zh-CN"/>
        </w:rPr>
        <w:t xml:space="preserve">     7</w:t>
      </w:r>
      <w:r>
        <w:rPr>
          <w:rFonts w:eastAsia="宋体"/>
          <w:szCs w:val="20"/>
          <w:lang w:eastAsia="zh-CN"/>
        </w:rPr>
        <w:t>.</w:t>
      </w:r>
      <w:r>
        <w:rPr>
          <w:rFonts w:eastAsia="宋体" w:hint="eastAsia"/>
          <w:szCs w:val="20"/>
          <w:lang w:eastAsia="zh-CN"/>
        </w:rPr>
        <w:t>2</w:t>
      </w:r>
      <w:r>
        <w:rPr>
          <w:rFonts w:eastAsia="宋体"/>
          <w:szCs w:val="20"/>
          <w:lang w:eastAsia="zh-CN"/>
        </w:rPr>
        <w:t>.</w:t>
      </w:r>
      <w:r>
        <w:rPr>
          <w:rFonts w:eastAsia="宋体" w:hint="eastAsia"/>
          <w:szCs w:val="20"/>
          <w:lang w:eastAsia="zh-CN"/>
        </w:rPr>
        <w:t>8</w:t>
      </w:r>
      <w:r>
        <w:rPr>
          <w:rFonts w:eastAsia="宋体"/>
          <w:szCs w:val="20"/>
          <w:lang w:eastAsia="zh-CN"/>
        </w:rPr>
        <w:t>.6</w:t>
      </w:r>
    </w:p>
    <w:p w:rsidR="00867347" w:rsidRDefault="009414C0">
      <w:pPr>
        <w:pStyle w:val="Header"/>
        <w:tabs>
          <w:tab w:val="clear" w:pos="4536"/>
        </w:tabs>
        <w:snapToGrid w:val="0"/>
        <w:rPr>
          <w:rFonts w:eastAsia="宋体"/>
          <w:szCs w:val="20"/>
          <w:lang w:eastAsia="zh-CN"/>
        </w:rPr>
      </w:pPr>
      <w:r>
        <w:rPr>
          <w:rFonts w:eastAsia="宋体"/>
          <w:szCs w:val="20"/>
          <w:lang w:eastAsia="zh-CN"/>
        </w:rPr>
        <w:t>Document for:</w:t>
      </w:r>
      <w:bookmarkStart w:id="1" w:name="DocumentFor"/>
      <w:bookmarkEnd w:id="1"/>
      <w:r>
        <w:rPr>
          <w:rFonts w:eastAsia="宋体" w:hint="eastAsia"/>
          <w:szCs w:val="20"/>
          <w:lang w:eastAsia="zh-CN"/>
        </w:rPr>
        <w:t xml:space="preserve">   </w:t>
      </w:r>
      <w:r>
        <w:rPr>
          <w:rFonts w:eastAsia="宋体"/>
          <w:szCs w:val="20"/>
          <w:lang w:eastAsia="zh-CN"/>
        </w:rPr>
        <w:t>Discussion and Decision</w:t>
      </w:r>
    </w:p>
    <w:p w:rsidR="00867347" w:rsidRDefault="00867347">
      <w:pPr>
        <w:pStyle w:val="Header"/>
        <w:tabs>
          <w:tab w:val="clear" w:pos="4536"/>
        </w:tabs>
        <w:snapToGrid w:val="0"/>
        <w:rPr>
          <w:rFonts w:eastAsia="宋体"/>
          <w:szCs w:val="20"/>
          <w:lang w:eastAsia="zh-CN"/>
        </w:rPr>
      </w:pPr>
    </w:p>
    <w:p w:rsidR="00867347" w:rsidRDefault="00867347">
      <w:pPr>
        <w:pBdr>
          <w:bottom w:val="single" w:sz="4" w:space="1" w:color="auto"/>
        </w:pBdr>
        <w:tabs>
          <w:tab w:val="left" w:pos="2552"/>
        </w:tabs>
        <w:snapToGrid w:val="0"/>
        <w:spacing w:line="240" w:lineRule="auto"/>
        <w:rPr>
          <w:sz w:val="4"/>
          <w:szCs w:val="4"/>
        </w:rPr>
      </w:pPr>
    </w:p>
    <w:p w:rsidR="00867347" w:rsidRDefault="009414C0">
      <w:pPr>
        <w:pStyle w:val="Heading1"/>
        <w:tabs>
          <w:tab w:val="clear" w:pos="432"/>
        </w:tabs>
        <w:snapToGrid w:val="0"/>
        <w:spacing w:beforeLines="50" w:before="120" w:afterLines="50" w:after="120"/>
        <w:ind w:left="431" w:hanging="431"/>
        <w:rPr>
          <w:sz w:val="28"/>
          <w:lang w:val="en-US"/>
        </w:rPr>
      </w:pPr>
      <w:r>
        <w:rPr>
          <w:sz w:val="28"/>
          <w:lang w:val="en-US"/>
        </w:rPr>
        <w:t>Introduction</w:t>
      </w:r>
    </w:p>
    <w:p w:rsidR="00867347" w:rsidRDefault="009414C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RAN1</w:t>
      </w:r>
      <w:r>
        <w:rPr>
          <w:rFonts w:eastAsia="微软雅黑"/>
          <w:sz w:val="20"/>
          <w:szCs w:val="20"/>
          <w:lang w:val="en-GB"/>
        </w:rPr>
        <w:t>#96, the following agreements have been made on the DFT based Type II compression CSI enhancements for MU-MIMO [1].</w:t>
      </w:r>
    </w:p>
    <w:p w:rsidR="00867347" w:rsidRDefault="009414C0">
      <w:pPr>
        <w:adjustRightInd w:val="0"/>
        <w:snapToGrid w:val="0"/>
        <w:spacing w:after="0" w:line="240" w:lineRule="auto"/>
        <w:rPr>
          <w:b/>
          <w:sz w:val="20"/>
          <w:szCs w:val="20"/>
        </w:rPr>
      </w:pPr>
      <w:r>
        <w:rPr>
          <w:b/>
          <w:sz w:val="20"/>
          <w:szCs w:val="20"/>
        </w:rPr>
        <w:t xml:space="preserve">Agreement </w:t>
      </w:r>
    </w:p>
    <w:p w:rsidR="00867347" w:rsidRDefault="009414C0">
      <w:pPr>
        <w:adjustRightInd w:val="0"/>
        <w:snapToGrid w:val="0"/>
        <w:spacing w:after="0" w:line="240" w:lineRule="auto"/>
        <w:rPr>
          <w:sz w:val="20"/>
          <w:szCs w:val="20"/>
        </w:rPr>
      </w:pPr>
      <w:r>
        <w:rPr>
          <w:sz w:val="20"/>
          <w:szCs w:val="20"/>
        </w:rPr>
        <w:t>Proposal 1 from R1-1902304 is agreed</w:t>
      </w:r>
    </w:p>
    <w:p w:rsidR="00867347" w:rsidRDefault="009414C0">
      <w:pPr>
        <w:pStyle w:val="Style10"/>
        <w:adjustRightInd w:val="0"/>
        <w:snapToGrid w:val="0"/>
        <w:spacing w:after="0" w:line="240" w:lineRule="auto"/>
        <w:ind w:firstLine="0"/>
        <w:rPr>
          <w:rFonts w:cs="Times New Roman"/>
          <w:lang w:val="en-US"/>
        </w:rPr>
      </w:pPr>
      <w:r>
        <w:rPr>
          <w:rFonts w:cs="Times New Roman"/>
          <w:b/>
          <w:lang w:val="en-US"/>
        </w:rPr>
        <w:t>Agreement</w:t>
      </w:r>
    </w:p>
    <w:p w:rsidR="00867347" w:rsidRDefault="009414C0">
      <w:pPr>
        <w:pStyle w:val="Style10"/>
        <w:adjustRightInd w:val="0"/>
        <w:snapToGrid w:val="0"/>
        <w:spacing w:after="0" w:line="240" w:lineRule="auto"/>
        <w:ind w:firstLine="0"/>
        <w:rPr>
          <w:rFonts w:cs="Times New Roman"/>
          <w:lang w:val="en-US"/>
        </w:rPr>
      </w:pPr>
      <w:r>
        <w:rPr>
          <w:rFonts w:cs="Times New Roman"/>
          <w:lang w:val="en-US" w:eastAsia="ko-KR"/>
        </w:rPr>
        <w:t xml:space="preserve">Extend the Type II </w:t>
      </w:r>
      <w:r>
        <w:rPr>
          <w:rFonts w:cs="Times New Roman"/>
          <w:lang w:val="en-US"/>
        </w:rPr>
        <w:t>DFT-based compression (designed for RI=1-2) to RI=3-4 with the following design principle:</w:t>
      </w:r>
    </w:p>
    <w:p w:rsidR="00867347" w:rsidRDefault="009414C0">
      <w:pPr>
        <w:pStyle w:val="Style10"/>
        <w:numPr>
          <w:ilvl w:val="0"/>
          <w:numId w:val="5"/>
        </w:numPr>
        <w:adjustRightInd w:val="0"/>
        <w:snapToGrid w:val="0"/>
        <w:spacing w:after="0" w:line="240" w:lineRule="auto"/>
        <w:rPr>
          <w:rFonts w:cs="Times New Roman"/>
          <w:lang w:val="en-US"/>
        </w:rPr>
      </w:pPr>
      <w:r>
        <w:rPr>
          <w:rFonts w:cs="Times New Roman"/>
          <w:lang w:val="en-US"/>
        </w:rPr>
        <w:t xml:space="preserve">The resulting overhead for RI=3-4 is at least comparable to that for RI=2 </w:t>
      </w:r>
    </w:p>
    <w:p w:rsidR="00867347" w:rsidRDefault="009414C0">
      <w:pPr>
        <w:pStyle w:val="Style10"/>
        <w:adjustRightInd w:val="0"/>
        <w:snapToGrid w:val="0"/>
        <w:spacing w:after="0" w:line="240" w:lineRule="auto"/>
        <w:ind w:firstLine="0"/>
        <w:rPr>
          <w:rFonts w:cs="Times New Roman"/>
          <w:lang w:val="en-US"/>
        </w:rPr>
      </w:pPr>
      <w:r>
        <w:rPr>
          <w:rFonts w:cs="Times New Roman"/>
          <w:b/>
          <w:lang w:val="en-US"/>
        </w:rPr>
        <w:t>Agreement</w:t>
      </w:r>
    </w:p>
    <w:p w:rsidR="00867347" w:rsidRDefault="009414C0">
      <w:pPr>
        <w:pStyle w:val="Style10"/>
        <w:adjustRightInd w:val="0"/>
        <w:snapToGrid w:val="0"/>
        <w:spacing w:after="0" w:line="240" w:lineRule="auto"/>
        <w:ind w:firstLine="0"/>
        <w:rPr>
          <w:rFonts w:cs="Times New Roman"/>
          <w:lang w:val="en-US"/>
        </w:rPr>
      </w:pPr>
      <w:r>
        <w:rPr>
          <w:rFonts w:cs="Times New Roman"/>
          <w:lang w:val="en-US"/>
        </w:rPr>
        <w:t>On subset selection for layer 0, agree on the following:</w:t>
      </w:r>
    </w:p>
    <w:p w:rsidR="00867347" w:rsidRDefault="009414C0">
      <w:pPr>
        <w:pStyle w:val="Style10"/>
        <w:numPr>
          <w:ilvl w:val="0"/>
          <w:numId w:val="6"/>
        </w:numPr>
        <w:adjustRightInd w:val="0"/>
        <w:snapToGrid w:val="0"/>
        <w:spacing w:after="0" w:line="240" w:lineRule="auto"/>
        <w:rPr>
          <w:rFonts w:cs="Times New Roman"/>
          <w:lang w:val="en-US"/>
        </w:rPr>
      </w:pPr>
      <w:r>
        <w:rPr>
          <w:rFonts w:cs="Times New Roman"/>
          <w:lang w:val="en-US"/>
        </w:rPr>
        <w:t>Unrestricted (polarization-independent) subset selection which requires a size-2LM bitmap in UCI part 2</w:t>
      </w:r>
    </w:p>
    <w:p w:rsidR="00867347" w:rsidRDefault="009414C0">
      <w:pPr>
        <w:pStyle w:val="Style10"/>
        <w:numPr>
          <w:ilvl w:val="0"/>
          <w:numId w:val="6"/>
        </w:numPr>
        <w:adjustRightInd w:val="0"/>
        <w:snapToGrid w:val="0"/>
        <w:spacing w:after="0" w:line="240" w:lineRule="auto"/>
        <w:rPr>
          <w:rFonts w:cs="Times New Roman"/>
          <w:lang w:val="en-US"/>
        </w:rPr>
      </w:pPr>
      <w:r>
        <w:rPr>
          <w:rFonts w:cs="Times New Roman"/>
          <w:lang w:val="en-US"/>
        </w:rPr>
        <w:fldChar w:fldCharType="begin"/>
      </w:r>
      <w:r>
        <w:rPr>
          <w:rFonts w:cs="Times New Roman"/>
          <w:lang w:val="en-US"/>
        </w:rPr>
        <w:instrText xml:space="preserve"> QUOTE </w:instrText>
      </w:r>
      <m:oMath>
        <m:r>
          <m:rPr>
            <m:sty m:val="p"/>
          </m:rPr>
          <w:rPr>
            <w:rFonts w:ascii="Cambria Math" w:hAnsi="Cambria Math" w:cs="Times New Roman"/>
            <w:lang w:val="en-US"/>
          </w:rPr>
          <m:t>β∈</m:t>
        </m:r>
        <m:d>
          <m:dPr>
            <m:begChr m:val="{"/>
            <m:endChr m:val="}"/>
            <m:ctrlPr>
              <w:rPr>
                <w:rFonts w:ascii="Cambria Math" w:hAnsi="Cambria Math" w:cs="Times New Roman"/>
                <w:i/>
                <w:lang w:val="en-US"/>
              </w:rPr>
            </m:ctrlPr>
          </m:dPr>
          <m:e>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4</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2</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3</m:t>
                </m:r>
              </m:num>
              <m:den>
                <m:r>
                  <m:rPr>
                    <m:sty m:val="p"/>
                  </m:rPr>
                  <w:rPr>
                    <w:rFonts w:ascii="Cambria Math" w:hAnsi="Cambria Math" w:cs="Times New Roman"/>
                    <w:lang w:val="en-US"/>
                  </w:rPr>
                  <m:t>4</m:t>
                </m:r>
              </m:den>
            </m:f>
          </m:e>
        </m:d>
      </m:oMath>
      <w:r>
        <w:rPr>
          <w:rFonts w:cs="Times New Roman"/>
          <w:lang w:val="en-US"/>
        </w:rPr>
        <w:instrText xml:space="preserve"> </w:instrText>
      </w:r>
      <w:r>
        <w:rPr>
          <w:rFonts w:cs="Times New Roman"/>
          <w:lang w:val="en-US"/>
        </w:rPr>
        <w:fldChar w:fldCharType="end"/>
      </w:r>
      <w:r>
        <w:rPr>
          <w:rFonts w:cs="Times New Roman"/>
          <w:position w:val="-28"/>
          <w:lang w:val="en-US"/>
        </w:rPr>
        <w:object w:dxaOrig="1417" w:dyaOrig="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85pt;height:33.9pt" o:ole="">
            <v:imagedata r:id="rId6" o:title=""/>
          </v:shape>
          <o:OLEObject Type="Embed" ProgID="Equation.DSMT4" ShapeID="_x0000_i1025" DrawAspect="Content" ObjectID="_1615398877" r:id="rId7"/>
        </w:object>
      </w:r>
      <w:r>
        <w:rPr>
          <w:rFonts w:cs="Times New Roman"/>
          <w:lang w:val="en-US"/>
        </w:rPr>
        <w:t xml:space="preserve"> </w:t>
      </w:r>
    </w:p>
    <w:p w:rsidR="00867347" w:rsidRDefault="009414C0">
      <w:pPr>
        <w:pStyle w:val="Style10"/>
        <w:numPr>
          <w:ilvl w:val="1"/>
          <w:numId w:val="6"/>
        </w:numPr>
        <w:adjustRightInd w:val="0"/>
        <w:snapToGrid w:val="0"/>
        <w:spacing w:after="0" w:line="240" w:lineRule="auto"/>
        <w:rPr>
          <w:rFonts w:cs="Times New Roman"/>
          <w:lang w:val="en-US"/>
        </w:rPr>
      </w:pPr>
      <w:r>
        <w:rPr>
          <w:rFonts w:cs="Times New Roman"/>
          <w:lang w:val="en-US"/>
        </w:rPr>
        <w:t xml:space="preserve">FFS: Further down selection of supported combinations of FD compression parameters  </w:t>
      </w:r>
    </w:p>
    <w:p w:rsidR="00867347" w:rsidRDefault="009414C0">
      <w:pPr>
        <w:pStyle w:val="Style10"/>
        <w:adjustRightInd w:val="0"/>
        <w:snapToGrid w:val="0"/>
        <w:spacing w:after="0" w:line="240" w:lineRule="auto"/>
        <w:ind w:firstLine="0"/>
        <w:rPr>
          <w:rFonts w:cs="Times New Roman"/>
          <w:lang w:val="en-US"/>
        </w:rPr>
      </w:pPr>
      <w:r>
        <w:rPr>
          <w:rFonts w:cs="Times New Roman"/>
          <w:b/>
          <w:lang w:val="en-US"/>
        </w:rPr>
        <w:t>Agreement</w:t>
      </w:r>
    </w:p>
    <w:p w:rsidR="00867347" w:rsidRDefault="009414C0">
      <w:pPr>
        <w:pStyle w:val="Style10"/>
        <w:adjustRightInd w:val="0"/>
        <w:snapToGrid w:val="0"/>
        <w:spacing w:after="0" w:line="240" w:lineRule="auto"/>
        <w:ind w:firstLine="0"/>
        <w:rPr>
          <w:rFonts w:cs="Times New Roman"/>
          <w:lang w:val="en-US" w:eastAsia="ko-KR"/>
        </w:rPr>
      </w:pPr>
      <w:r>
        <w:rPr>
          <w:rFonts w:cs="Times New Roman"/>
          <w:lang w:val="en-US" w:eastAsia="ko-KR"/>
        </w:rPr>
        <w:t>On LCC quantization, agree on the following:</w:t>
      </w:r>
    </w:p>
    <w:p w:rsidR="00867347" w:rsidRDefault="009414C0">
      <w:pPr>
        <w:pStyle w:val="Style10"/>
        <w:numPr>
          <w:ilvl w:val="0"/>
          <w:numId w:val="7"/>
        </w:numPr>
        <w:adjustRightInd w:val="0"/>
        <w:snapToGrid w:val="0"/>
        <w:spacing w:after="0" w:line="240" w:lineRule="auto"/>
        <w:rPr>
          <w:rFonts w:cs="Times New Roman"/>
          <w:lang w:val="en-US"/>
        </w:rPr>
      </w:pPr>
      <w:r>
        <w:rPr>
          <w:rFonts w:cs="Times New Roman"/>
          <w:lang w:val="en-US"/>
        </w:rPr>
        <w:t>The description of each of the five alternatives above is final (in R1-1902304, section 2.5)</w:t>
      </w:r>
    </w:p>
    <w:p w:rsidR="00867347" w:rsidRDefault="009414C0">
      <w:pPr>
        <w:pStyle w:val="Style10"/>
        <w:numPr>
          <w:ilvl w:val="0"/>
          <w:numId w:val="7"/>
        </w:numPr>
        <w:adjustRightInd w:val="0"/>
        <w:snapToGrid w:val="0"/>
        <w:spacing w:after="0" w:line="240" w:lineRule="auto"/>
        <w:rPr>
          <w:rFonts w:cs="Times New Roman"/>
          <w:lang w:val="en-US"/>
        </w:rPr>
      </w:pPr>
      <w:r>
        <w:rPr>
          <w:rFonts w:cs="Times New Roman"/>
          <w:lang w:val="en-US"/>
        </w:rPr>
        <w:t>Further discuss to select one of the five alternatives later this week (in RAN1#96)</w:t>
      </w:r>
    </w:p>
    <w:p w:rsidR="00867347" w:rsidRDefault="009414C0">
      <w:pPr>
        <w:pStyle w:val="Style10"/>
        <w:numPr>
          <w:ilvl w:val="1"/>
          <w:numId w:val="7"/>
        </w:numPr>
        <w:adjustRightInd w:val="0"/>
        <w:snapToGrid w:val="0"/>
        <w:spacing w:after="0" w:line="240" w:lineRule="auto"/>
        <w:rPr>
          <w:rFonts w:cs="Times New Roman"/>
          <w:lang w:val="en-US"/>
        </w:rPr>
      </w:pPr>
      <w:r>
        <w:rPr>
          <w:rFonts w:cs="Times New Roman"/>
          <w:lang w:val="en-US"/>
        </w:rPr>
        <w:t>Any new alternative (including merged/compromise proposals) will not be considered for Rel-16</w:t>
      </w:r>
    </w:p>
    <w:p w:rsidR="00867347" w:rsidRDefault="009414C0">
      <w:pPr>
        <w:pStyle w:val="Style10"/>
        <w:adjustRightInd w:val="0"/>
        <w:snapToGrid w:val="0"/>
        <w:spacing w:after="0" w:line="240" w:lineRule="auto"/>
        <w:ind w:firstLine="0"/>
        <w:rPr>
          <w:rFonts w:cs="Times New Roman"/>
          <w:i/>
          <w:lang w:val="en-US"/>
        </w:rPr>
      </w:pPr>
      <w:r>
        <w:rPr>
          <w:rFonts w:cs="Times New Roman"/>
          <w:b/>
          <w:lang w:val="en-US"/>
        </w:rPr>
        <w:t>Agreement</w:t>
      </w:r>
    </w:p>
    <w:p w:rsidR="00867347" w:rsidRDefault="009414C0">
      <w:pPr>
        <w:pStyle w:val="Style10"/>
        <w:adjustRightInd w:val="0"/>
        <w:snapToGrid w:val="0"/>
        <w:spacing w:after="0" w:line="240" w:lineRule="auto"/>
        <w:ind w:firstLine="0"/>
        <w:rPr>
          <w:rFonts w:cs="Times New Roman"/>
          <w:lang w:val="en-US"/>
        </w:rPr>
      </w:pPr>
      <w:r>
        <w:rPr>
          <w:rFonts w:cs="Times New Roman"/>
          <w:lang w:val="en-US" w:eastAsia="ko-KR"/>
        </w:rPr>
        <w:t xml:space="preserve">On </w:t>
      </w:r>
      <w:r>
        <w:rPr>
          <w:rFonts w:cs="Times New Roman"/>
          <w:lang w:val="en-US"/>
        </w:rPr>
        <w:t>subset selection for RI=2, agree on the following</w:t>
      </w:r>
    </w:p>
    <w:p w:rsidR="00867347" w:rsidRDefault="009414C0">
      <w:pPr>
        <w:pStyle w:val="Style10"/>
        <w:numPr>
          <w:ilvl w:val="0"/>
          <w:numId w:val="7"/>
        </w:numPr>
        <w:adjustRightInd w:val="0"/>
        <w:snapToGrid w:val="0"/>
        <w:spacing w:after="0" w:line="240" w:lineRule="auto"/>
        <w:rPr>
          <w:rFonts w:cs="Times New Roman"/>
          <w:lang w:val="en-US"/>
        </w:rPr>
      </w:pPr>
      <w:r>
        <w:rPr>
          <w:rFonts w:cs="Times New Roman"/>
          <w:iCs/>
          <w:lang w:val="en-US"/>
        </w:rPr>
        <w:t>SD basis selection (selection of L out of N1N2 SD DFT vectors) is layer-common</w:t>
      </w:r>
    </w:p>
    <w:p w:rsidR="00867347" w:rsidRDefault="009414C0">
      <w:pPr>
        <w:pStyle w:val="Style10"/>
        <w:numPr>
          <w:ilvl w:val="0"/>
          <w:numId w:val="7"/>
        </w:numPr>
        <w:adjustRightInd w:val="0"/>
        <w:snapToGrid w:val="0"/>
        <w:spacing w:after="0" w:line="240" w:lineRule="auto"/>
        <w:rPr>
          <w:rFonts w:cs="Times New Roman"/>
          <w:lang w:val="en-US"/>
        </w:rPr>
      </w:pPr>
      <w:r>
        <w:rPr>
          <w:rFonts w:cs="Times New Roman"/>
          <w:iCs/>
          <w:lang w:val="en-US"/>
        </w:rPr>
        <w:t>Terms:</w:t>
      </w:r>
    </w:p>
    <w:p w:rsidR="00867347" w:rsidRDefault="009414C0">
      <w:pPr>
        <w:pStyle w:val="ListParagraph2"/>
        <w:numPr>
          <w:ilvl w:val="1"/>
          <w:numId w:val="8"/>
        </w:numPr>
        <w:adjustRightInd w:val="0"/>
        <w:snapToGrid w:val="0"/>
        <w:spacing w:after="0" w:line="240" w:lineRule="auto"/>
        <w:ind w:firstLineChars="0"/>
        <w:rPr>
          <w:rStyle w:val="Emphasis"/>
          <w:i w:val="0"/>
          <w:iCs/>
          <w:sz w:val="20"/>
          <w:szCs w:val="20"/>
        </w:rPr>
      </w:pPr>
      <w:r>
        <w:rPr>
          <w:rStyle w:val="Emphasis"/>
          <w:i w:val="0"/>
          <w:sz w:val="20"/>
          <w:szCs w:val="20"/>
        </w:rPr>
        <w:t>“FD basis subset selection” refers to the selection of M out of N</w:t>
      </w:r>
      <w:r>
        <w:rPr>
          <w:rStyle w:val="Emphasis"/>
          <w:i w:val="0"/>
          <w:sz w:val="20"/>
          <w:szCs w:val="20"/>
          <w:vertAlign w:val="subscript"/>
        </w:rPr>
        <w:t>3</w:t>
      </w:r>
      <w:r>
        <w:rPr>
          <w:rStyle w:val="Emphasis"/>
          <w:i w:val="0"/>
          <w:sz w:val="20"/>
          <w:szCs w:val="20"/>
        </w:rPr>
        <w:t xml:space="preserve"> FD DFT vectors</w:t>
      </w:r>
    </w:p>
    <w:p w:rsidR="00867347" w:rsidRDefault="009414C0">
      <w:pPr>
        <w:pStyle w:val="ListParagraph2"/>
        <w:numPr>
          <w:ilvl w:val="1"/>
          <w:numId w:val="8"/>
        </w:numPr>
        <w:adjustRightInd w:val="0"/>
        <w:snapToGrid w:val="0"/>
        <w:spacing w:after="0" w:line="240" w:lineRule="auto"/>
        <w:ind w:firstLineChars="0"/>
        <w:rPr>
          <w:rStyle w:val="Emphasis"/>
          <w:i w:val="0"/>
          <w:iCs/>
          <w:sz w:val="20"/>
          <w:szCs w:val="20"/>
        </w:rPr>
      </w:pPr>
      <w:r>
        <w:rPr>
          <w:rStyle w:val="Emphasis"/>
          <w:i w:val="0"/>
          <w:sz w:val="20"/>
          <w:szCs w:val="20"/>
        </w:rPr>
        <w:t>“Coefficient subset selection” refers to the selection of K</w:t>
      </w:r>
      <w:r>
        <w:rPr>
          <w:rStyle w:val="Emphasis"/>
          <w:i w:val="0"/>
          <w:sz w:val="20"/>
          <w:szCs w:val="20"/>
          <w:vertAlign w:val="subscript"/>
        </w:rPr>
        <w:t>NZ</w:t>
      </w:r>
      <w:r>
        <w:rPr>
          <w:rStyle w:val="Emphasis"/>
          <w:i w:val="0"/>
          <w:sz w:val="20"/>
          <w:szCs w:val="20"/>
        </w:rPr>
        <w:t xml:space="preserve"> (# non-zero coefficients) out of 2LM where K</w:t>
      </w:r>
      <w:r>
        <w:rPr>
          <w:rStyle w:val="Emphasis"/>
          <w:i w:val="0"/>
          <w:sz w:val="20"/>
          <w:szCs w:val="20"/>
          <w:vertAlign w:val="subscript"/>
        </w:rPr>
        <w:t>NZ</w:t>
      </w:r>
      <w:r>
        <w:rPr>
          <w:rStyle w:val="Emphasis"/>
          <w:i w:val="0"/>
          <w:sz w:val="20"/>
          <w:szCs w:val="20"/>
        </w:rPr>
        <w:t xml:space="preserve"> ≤ K</w:t>
      </w:r>
      <w:r>
        <w:rPr>
          <w:rStyle w:val="Emphasis"/>
          <w:i w:val="0"/>
          <w:sz w:val="20"/>
          <w:szCs w:val="20"/>
          <w:vertAlign w:val="subscript"/>
        </w:rPr>
        <w:t>0</w:t>
      </w:r>
    </w:p>
    <w:p w:rsidR="00867347" w:rsidRDefault="009414C0">
      <w:pPr>
        <w:pStyle w:val="Style10"/>
        <w:numPr>
          <w:ilvl w:val="0"/>
          <w:numId w:val="7"/>
        </w:numPr>
        <w:adjustRightInd w:val="0"/>
        <w:snapToGrid w:val="0"/>
        <w:spacing w:after="0" w:line="240" w:lineRule="auto"/>
        <w:rPr>
          <w:rFonts w:cs="Times New Roman"/>
          <w:lang w:val="en-US"/>
        </w:rPr>
      </w:pPr>
      <w:r>
        <w:rPr>
          <w:rFonts w:cs="Times New Roman"/>
          <w:lang w:val="en-US"/>
        </w:rPr>
        <w:t>The size-K</w:t>
      </w:r>
      <w:r>
        <w:rPr>
          <w:rFonts w:cs="Times New Roman"/>
          <w:vertAlign w:val="subscript"/>
          <w:lang w:val="en-US"/>
        </w:rPr>
        <w:t>0</w:t>
      </w:r>
      <w:r>
        <w:rPr>
          <w:rFonts w:cs="Times New Roman"/>
          <w:lang w:val="en-US"/>
        </w:rPr>
        <w:t xml:space="preserve"> subset design for layer 0 is also applied to layer 1</w:t>
      </w:r>
    </w:p>
    <w:p w:rsidR="00867347" w:rsidRDefault="009414C0">
      <w:pPr>
        <w:pStyle w:val="Style10"/>
        <w:numPr>
          <w:ilvl w:val="0"/>
          <w:numId w:val="7"/>
        </w:numPr>
        <w:adjustRightInd w:val="0"/>
        <w:snapToGrid w:val="0"/>
        <w:spacing w:after="0" w:line="240" w:lineRule="auto"/>
        <w:rPr>
          <w:rFonts w:cs="Times New Roman"/>
          <w:iCs/>
          <w:lang w:val="en-US"/>
        </w:rPr>
      </w:pPr>
      <w:r>
        <w:rPr>
          <w:rFonts w:cs="Times New Roman"/>
          <w:iCs/>
          <w:lang w:val="en-US"/>
        </w:rPr>
        <w:t>K</w:t>
      </w:r>
      <w:r>
        <w:rPr>
          <w:rFonts w:cs="Times New Roman"/>
          <w:iCs/>
          <w:vertAlign w:val="subscript"/>
          <w:lang w:val="en-US"/>
        </w:rPr>
        <w:t>0</w:t>
      </w:r>
      <w:r>
        <w:rPr>
          <w:rFonts w:cs="Times New Roman"/>
          <w:iCs/>
          <w:lang w:val="en-US"/>
        </w:rPr>
        <w:t xml:space="preserve"> is the maximum number of non-zero coefficients for each layer.</w:t>
      </w:r>
    </w:p>
    <w:p w:rsidR="00867347" w:rsidRDefault="009414C0">
      <w:pPr>
        <w:adjustRightInd w:val="0"/>
        <w:snapToGrid w:val="0"/>
        <w:spacing w:after="0" w:line="240" w:lineRule="auto"/>
        <w:rPr>
          <w:b/>
          <w:sz w:val="20"/>
          <w:szCs w:val="20"/>
        </w:rPr>
      </w:pPr>
      <w:r>
        <w:rPr>
          <w:b/>
          <w:sz w:val="20"/>
          <w:szCs w:val="20"/>
        </w:rPr>
        <w:t>Agreement</w:t>
      </w:r>
    </w:p>
    <w:p w:rsidR="00867347" w:rsidRDefault="009414C0">
      <w:pPr>
        <w:adjustRightInd w:val="0"/>
        <w:snapToGrid w:val="0"/>
        <w:spacing w:after="0" w:line="240" w:lineRule="auto"/>
        <w:rPr>
          <w:sz w:val="20"/>
          <w:szCs w:val="20"/>
        </w:rPr>
      </w:pPr>
      <w:r>
        <w:rPr>
          <w:sz w:val="20"/>
          <w:szCs w:val="20"/>
          <w:lang w:eastAsia="ko-KR"/>
        </w:rPr>
        <w:t>On LCC quantization, agree on Alt2 (differential per polarization) per the description in R1-1902304</w:t>
      </w:r>
    </w:p>
    <w:p w:rsidR="00867347" w:rsidRDefault="009414C0">
      <w:pPr>
        <w:pStyle w:val="Style10"/>
        <w:adjustRightInd w:val="0"/>
        <w:snapToGrid w:val="0"/>
        <w:spacing w:after="0" w:line="240" w:lineRule="auto"/>
        <w:ind w:firstLine="0"/>
        <w:rPr>
          <w:rFonts w:cs="Times New Roman"/>
          <w:lang w:eastAsia="ko-KR"/>
        </w:rPr>
      </w:pPr>
      <w:r>
        <w:rPr>
          <w:rFonts w:cs="Times New Roman"/>
          <w:b/>
          <w:bCs/>
          <w:lang w:eastAsia="ko-KR"/>
        </w:rPr>
        <w:t>Agreement</w:t>
      </w:r>
    </w:p>
    <w:p w:rsidR="00867347" w:rsidRDefault="009414C0">
      <w:pPr>
        <w:pStyle w:val="Style10"/>
        <w:adjustRightInd w:val="0"/>
        <w:snapToGrid w:val="0"/>
        <w:spacing w:after="0" w:line="240" w:lineRule="auto"/>
        <w:ind w:firstLine="0"/>
        <w:rPr>
          <w:rFonts w:cs="Times New Roman"/>
          <w:lang w:eastAsia="ko-KR"/>
        </w:rPr>
      </w:pPr>
      <w:r>
        <w:rPr>
          <w:rFonts w:cs="Times New Roman"/>
          <w:lang w:eastAsia="ko-KR"/>
        </w:rPr>
        <w:t xml:space="preserve">For RI=2, the following is supported </w:t>
      </w:r>
    </w:p>
    <w:p w:rsidR="00867347" w:rsidRDefault="009414C0">
      <w:pPr>
        <w:pStyle w:val="Style10"/>
        <w:numPr>
          <w:ilvl w:val="0"/>
          <w:numId w:val="9"/>
        </w:numPr>
        <w:adjustRightInd w:val="0"/>
        <w:snapToGrid w:val="0"/>
        <w:spacing w:after="0" w:line="240" w:lineRule="auto"/>
        <w:rPr>
          <w:rFonts w:cs="Times New Roman"/>
          <w:lang w:eastAsia="zh-CN"/>
        </w:rPr>
      </w:pPr>
      <w:r>
        <w:rPr>
          <w:rFonts w:cs="Times New Roman"/>
          <w:lang w:eastAsia="ko-KR"/>
        </w:rPr>
        <w:t xml:space="preserve">Layer-independent FD basis subset selection </w:t>
      </w:r>
    </w:p>
    <w:p w:rsidR="00867347" w:rsidRDefault="009414C0">
      <w:pPr>
        <w:pStyle w:val="Style10"/>
        <w:numPr>
          <w:ilvl w:val="0"/>
          <w:numId w:val="9"/>
        </w:numPr>
        <w:adjustRightInd w:val="0"/>
        <w:snapToGrid w:val="0"/>
        <w:spacing w:after="0" w:line="240" w:lineRule="auto"/>
        <w:rPr>
          <w:rFonts w:cs="Times New Roman"/>
          <w:lang w:eastAsia="zh-CN"/>
        </w:rPr>
      </w:pPr>
      <w:r>
        <w:rPr>
          <w:rFonts w:cs="Times New Roman"/>
          <w:lang w:eastAsia="ko-KR"/>
        </w:rPr>
        <w:t>Layer-independent coefficient subset selection</w:t>
      </w:r>
    </w:p>
    <w:p w:rsidR="00867347" w:rsidRDefault="009414C0">
      <w:pPr>
        <w:adjustRightInd w:val="0"/>
        <w:snapToGrid w:val="0"/>
        <w:spacing w:after="0" w:line="240" w:lineRule="auto"/>
        <w:rPr>
          <w:b/>
          <w:sz w:val="20"/>
          <w:szCs w:val="20"/>
        </w:rPr>
      </w:pPr>
      <w:r>
        <w:rPr>
          <w:b/>
          <w:sz w:val="20"/>
          <w:szCs w:val="20"/>
        </w:rPr>
        <w:t>Agreement</w:t>
      </w:r>
    </w:p>
    <w:p w:rsidR="00867347" w:rsidRDefault="009414C0">
      <w:pPr>
        <w:adjustRightInd w:val="0"/>
        <w:snapToGrid w:val="0"/>
        <w:spacing w:after="0" w:line="240" w:lineRule="auto"/>
        <w:rPr>
          <w:sz w:val="20"/>
          <w:szCs w:val="20"/>
        </w:rPr>
      </w:pPr>
      <w:r>
        <w:rPr>
          <w:sz w:val="20"/>
          <w:szCs w:val="20"/>
          <w:lang w:eastAsia="ko-KR"/>
        </w:rPr>
        <w:t>On the values of N</w:t>
      </w:r>
      <w:r>
        <w:rPr>
          <w:sz w:val="20"/>
          <w:szCs w:val="20"/>
          <w:vertAlign w:val="subscript"/>
          <w:lang w:eastAsia="ko-KR"/>
        </w:rPr>
        <w:t>3</w:t>
      </w:r>
      <w:r>
        <w:rPr>
          <w:sz w:val="20"/>
          <w:szCs w:val="20"/>
          <w:lang w:eastAsia="ko-KR"/>
        </w:rPr>
        <w:t xml:space="preserve">, further discuss and clarify/refine both of the available alternatives </w:t>
      </w:r>
      <w:r>
        <w:rPr>
          <w:sz w:val="20"/>
          <w:szCs w:val="20"/>
        </w:rPr>
        <w:t xml:space="preserve">with </w:t>
      </w:r>
      <w:r>
        <w:rPr>
          <w:position w:val="-14"/>
          <w:sz w:val="20"/>
          <w:szCs w:val="20"/>
        </w:rPr>
        <w:object w:dxaOrig="1479" w:dyaOrig="400">
          <v:shape id="_x0000_i1026" type="#_x0000_t75" style="width:73.95pt;height:20pt" o:ole="">
            <v:imagedata r:id="rId8" o:title=""/>
          </v:shape>
          <o:OLEObject Type="Embed" ProgID="Equation.DSMT4" ShapeID="_x0000_i1026" DrawAspect="Content" ObjectID="_1615398878" r:id="rId9"/>
        </w:object>
      </w:r>
      <w:r>
        <w:rPr>
          <w:sz w:val="20"/>
          <w:szCs w:val="20"/>
        </w:rPr>
        <w:t xml:space="preserve"> as the evaluation baseline </w:t>
      </w:r>
    </w:p>
    <w:p w:rsidR="00867347" w:rsidRDefault="009414C0">
      <w:pPr>
        <w:adjustRightInd w:val="0"/>
        <w:snapToGrid w:val="0"/>
        <w:spacing w:after="0" w:line="240" w:lineRule="auto"/>
        <w:rPr>
          <w:b/>
          <w:sz w:val="20"/>
          <w:szCs w:val="20"/>
        </w:rPr>
      </w:pPr>
      <w:r>
        <w:rPr>
          <w:b/>
          <w:sz w:val="20"/>
          <w:szCs w:val="20"/>
        </w:rPr>
        <w:t>Agreement</w:t>
      </w:r>
    </w:p>
    <w:p w:rsidR="00867347" w:rsidRDefault="009414C0">
      <w:pPr>
        <w:adjustRightInd w:val="0"/>
        <w:snapToGrid w:val="0"/>
        <w:spacing w:after="0" w:line="240" w:lineRule="auto"/>
        <w:rPr>
          <w:sz w:val="20"/>
          <w:szCs w:val="20"/>
        </w:rPr>
      </w:pPr>
      <w:r>
        <w:rPr>
          <w:sz w:val="20"/>
          <w:szCs w:val="20"/>
        </w:rPr>
        <w:t>For RI</w:t>
      </w:r>
      <w:r>
        <w:rPr>
          <w:sz w:val="20"/>
          <w:szCs w:val="20"/>
        </w:rPr>
        <w:sym w:font="Symbol" w:char="F0CE"/>
      </w:r>
      <w:r>
        <w:rPr>
          <w:sz w:val="20"/>
          <w:szCs w:val="20"/>
        </w:rPr>
        <w:t>{3,4}, different layers are independently quantized just as RI=1 and 2</w:t>
      </w:r>
    </w:p>
    <w:p w:rsidR="00867347" w:rsidRDefault="009414C0">
      <w:pPr>
        <w:adjustRightInd w:val="0"/>
        <w:snapToGrid w:val="0"/>
        <w:spacing w:after="0" w:line="240" w:lineRule="auto"/>
        <w:rPr>
          <w:b/>
          <w:sz w:val="20"/>
          <w:szCs w:val="20"/>
        </w:rPr>
      </w:pPr>
      <w:r>
        <w:rPr>
          <w:b/>
          <w:sz w:val="20"/>
          <w:szCs w:val="20"/>
        </w:rPr>
        <w:t>Agreement</w:t>
      </w:r>
    </w:p>
    <w:p w:rsidR="00867347" w:rsidRDefault="009414C0">
      <w:pPr>
        <w:adjustRightInd w:val="0"/>
        <w:snapToGrid w:val="0"/>
        <w:spacing w:after="0" w:line="240" w:lineRule="auto"/>
        <w:rPr>
          <w:sz w:val="20"/>
          <w:szCs w:val="20"/>
        </w:rPr>
      </w:pPr>
      <w:r>
        <w:rPr>
          <w:sz w:val="20"/>
          <w:szCs w:val="20"/>
        </w:rPr>
        <w:t>On SD and FD basis selection for RI</w:t>
      </w:r>
      <w:r>
        <w:rPr>
          <w:sz w:val="20"/>
          <w:szCs w:val="20"/>
        </w:rPr>
        <w:sym w:font="Symbol" w:char="F0CE"/>
      </w:r>
      <w:r>
        <w:rPr>
          <w:sz w:val="20"/>
          <w:szCs w:val="20"/>
        </w:rPr>
        <w:t>{3,4}</w:t>
      </w:r>
    </w:p>
    <w:p w:rsidR="00867347" w:rsidRDefault="009414C0">
      <w:pPr>
        <w:pStyle w:val="ListParagraph2"/>
        <w:numPr>
          <w:ilvl w:val="0"/>
          <w:numId w:val="10"/>
        </w:numPr>
        <w:adjustRightInd w:val="0"/>
        <w:snapToGrid w:val="0"/>
        <w:spacing w:after="0" w:line="240" w:lineRule="auto"/>
        <w:ind w:firstLineChars="0"/>
        <w:rPr>
          <w:sz w:val="20"/>
          <w:szCs w:val="20"/>
        </w:rPr>
      </w:pPr>
      <w:r>
        <w:rPr>
          <w:sz w:val="20"/>
          <w:szCs w:val="20"/>
        </w:rPr>
        <w:t xml:space="preserve">The parameter </w:t>
      </w:r>
      <w:r>
        <w:rPr>
          <w:i/>
          <w:sz w:val="20"/>
          <w:szCs w:val="20"/>
        </w:rPr>
        <w:t>R</w:t>
      </w:r>
      <w:r>
        <w:rPr>
          <w:sz w:val="20"/>
          <w:szCs w:val="20"/>
        </w:rPr>
        <w:t xml:space="preserve"> is layer-common and RI-common</w:t>
      </w:r>
    </w:p>
    <w:p w:rsidR="00867347" w:rsidRDefault="009414C0">
      <w:pPr>
        <w:pStyle w:val="ListParagraph2"/>
        <w:numPr>
          <w:ilvl w:val="0"/>
          <w:numId w:val="10"/>
        </w:numPr>
        <w:adjustRightInd w:val="0"/>
        <w:snapToGrid w:val="0"/>
        <w:spacing w:after="0" w:line="240" w:lineRule="auto"/>
        <w:ind w:firstLineChars="0"/>
        <w:rPr>
          <w:sz w:val="20"/>
          <w:szCs w:val="20"/>
        </w:rPr>
      </w:pPr>
      <w:r>
        <w:rPr>
          <w:sz w:val="20"/>
          <w:szCs w:val="20"/>
        </w:rPr>
        <w:t>For the higher-layer setting of SD/FD basis parameters (</w:t>
      </w:r>
      <w:r>
        <w:rPr>
          <w:i/>
          <w:sz w:val="20"/>
          <w:szCs w:val="20"/>
        </w:rPr>
        <w:t>L</w:t>
      </w:r>
      <w:r>
        <w:rPr>
          <w:sz w:val="20"/>
          <w:szCs w:val="20"/>
        </w:rPr>
        <w:t xml:space="preserve">, </w:t>
      </w:r>
      <w:r>
        <w:rPr>
          <w:i/>
          <w:sz w:val="20"/>
          <w:szCs w:val="20"/>
        </w:rPr>
        <w:t>p</w:t>
      </w:r>
      <w:r>
        <w:rPr>
          <w:sz w:val="20"/>
          <w:szCs w:val="20"/>
        </w:rPr>
        <w:t>):</w:t>
      </w:r>
    </w:p>
    <w:p w:rsidR="00867347" w:rsidRDefault="009414C0">
      <w:pPr>
        <w:pStyle w:val="ListParagraph2"/>
        <w:numPr>
          <w:ilvl w:val="1"/>
          <w:numId w:val="10"/>
        </w:numPr>
        <w:adjustRightInd w:val="0"/>
        <w:snapToGrid w:val="0"/>
        <w:spacing w:after="0" w:line="240" w:lineRule="auto"/>
        <w:ind w:firstLineChars="0"/>
        <w:rPr>
          <w:sz w:val="20"/>
          <w:szCs w:val="20"/>
        </w:rPr>
      </w:pPr>
      <w:r>
        <w:rPr>
          <w:sz w:val="20"/>
          <w:szCs w:val="20"/>
        </w:rPr>
        <w:lastRenderedPageBreak/>
        <w:t>Down select among the following alternatives for the higher-layer setting of SD/FD basis parameters (</w:t>
      </w:r>
      <w:r>
        <w:rPr>
          <w:i/>
          <w:sz w:val="20"/>
          <w:szCs w:val="20"/>
        </w:rPr>
        <w:t>L</w:t>
      </w:r>
      <w:r>
        <w:rPr>
          <w:sz w:val="20"/>
          <w:szCs w:val="20"/>
        </w:rPr>
        <w:t xml:space="preserve">, </w:t>
      </w:r>
      <w:r>
        <w:rPr>
          <w:i/>
          <w:sz w:val="20"/>
          <w:szCs w:val="20"/>
        </w:rPr>
        <w:t>p</w:t>
      </w:r>
      <w:r>
        <w:rPr>
          <w:sz w:val="20"/>
          <w:szCs w:val="20"/>
        </w:rPr>
        <w:t>):</w:t>
      </w:r>
    </w:p>
    <w:p w:rsidR="00867347" w:rsidRDefault="009414C0">
      <w:pPr>
        <w:pStyle w:val="ListParagraph2"/>
        <w:numPr>
          <w:ilvl w:val="2"/>
          <w:numId w:val="10"/>
        </w:numPr>
        <w:adjustRightInd w:val="0"/>
        <w:snapToGrid w:val="0"/>
        <w:spacing w:after="0" w:line="240" w:lineRule="auto"/>
        <w:ind w:firstLineChars="0"/>
        <w:rPr>
          <w:sz w:val="20"/>
          <w:szCs w:val="20"/>
        </w:rPr>
      </w:pPr>
      <w:r>
        <w:rPr>
          <w:sz w:val="20"/>
          <w:szCs w:val="20"/>
        </w:rPr>
        <w:t>Alt1 RI-common for RI</w:t>
      </w:r>
      <w:r>
        <w:rPr>
          <w:sz w:val="20"/>
          <w:szCs w:val="20"/>
        </w:rPr>
        <w:sym w:font="Symbol" w:char="F0CE"/>
      </w:r>
      <w:r>
        <w:rPr>
          <w:sz w:val="20"/>
          <w:szCs w:val="20"/>
        </w:rPr>
        <w:t xml:space="preserve">{1,2,3,4}, layer-common </w:t>
      </w:r>
    </w:p>
    <w:p w:rsidR="00867347" w:rsidRDefault="009414C0">
      <w:pPr>
        <w:pStyle w:val="ListParagraph2"/>
        <w:numPr>
          <w:ilvl w:val="2"/>
          <w:numId w:val="10"/>
        </w:numPr>
        <w:adjustRightInd w:val="0"/>
        <w:snapToGrid w:val="0"/>
        <w:spacing w:after="0" w:line="240" w:lineRule="auto"/>
        <w:ind w:firstLineChars="0"/>
        <w:rPr>
          <w:sz w:val="20"/>
          <w:szCs w:val="20"/>
        </w:rPr>
      </w:pPr>
      <w:r>
        <w:rPr>
          <w:sz w:val="20"/>
          <w:szCs w:val="20"/>
        </w:rPr>
        <w:t>Alt2 RI-common for RI</w:t>
      </w:r>
      <w:r>
        <w:rPr>
          <w:sz w:val="20"/>
          <w:szCs w:val="20"/>
        </w:rPr>
        <w:sym w:font="Symbol" w:char="F0CE"/>
      </w:r>
      <w:r>
        <w:rPr>
          <w:sz w:val="20"/>
          <w:szCs w:val="20"/>
        </w:rPr>
        <w:t>{1,2,3,4}, layer-/layer-group-specific</w:t>
      </w:r>
    </w:p>
    <w:p w:rsidR="00867347" w:rsidRDefault="009414C0">
      <w:pPr>
        <w:pStyle w:val="ListParagraph2"/>
        <w:numPr>
          <w:ilvl w:val="2"/>
          <w:numId w:val="10"/>
        </w:numPr>
        <w:adjustRightInd w:val="0"/>
        <w:snapToGrid w:val="0"/>
        <w:spacing w:after="0" w:line="240" w:lineRule="auto"/>
        <w:ind w:firstLineChars="0"/>
        <w:rPr>
          <w:sz w:val="20"/>
          <w:szCs w:val="20"/>
        </w:rPr>
      </w:pPr>
      <w:r>
        <w:rPr>
          <w:sz w:val="20"/>
          <w:szCs w:val="20"/>
        </w:rPr>
        <w:t>Alt3 RI-common for RI</w:t>
      </w:r>
      <w:r>
        <w:rPr>
          <w:sz w:val="20"/>
          <w:szCs w:val="20"/>
        </w:rPr>
        <w:sym w:font="Symbol" w:char="F0CE"/>
      </w:r>
      <w:r>
        <w:rPr>
          <w:sz w:val="20"/>
          <w:szCs w:val="20"/>
        </w:rPr>
        <w:t xml:space="preserve">{3,4}, layer-common </w:t>
      </w:r>
    </w:p>
    <w:p w:rsidR="00867347" w:rsidRDefault="009414C0">
      <w:pPr>
        <w:pStyle w:val="ListParagraph2"/>
        <w:numPr>
          <w:ilvl w:val="2"/>
          <w:numId w:val="10"/>
        </w:numPr>
        <w:adjustRightInd w:val="0"/>
        <w:snapToGrid w:val="0"/>
        <w:spacing w:after="0" w:line="240" w:lineRule="auto"/>
        <w:ind w:firstLineChars="0"/>
        <w:rPr>
          <w:sz w:val="20"/>
          <w:szCs w:val="20"/>
        </w:rPr>
      </w:pPr>
      <w:r>
        <w:rPr>
          <w:sz w:val="20"/>
          <w:szCs w:val="20"/>
        </w:rPr>
        <w:t>Alt4 RI-common for RI</w:t>
      </w:r>
      <w:r>
        <w:rPr>
          <w:sz w:val="20"/>
          <w:szCs w:val="20"/>
        </w:rPr>
        <w:sym w:font="Symbol" w:char="F0CE"/>
      </w:r>
      <w:r>
        <w:rPr>
          <w:sz w:val="20"/>
          <w:szCs w:val="20"/>
        </w:rPr>
        <w:t>{3,4}, layer-/layer-group-specific</w:t>
      </w:r>
    </w:p>
    <w:p w:rsidR="00867347" w:rsidRDefault="009414C0">
      <w:pPr>
        <w:pStyle w:val="ListParagraph2"/>
        <w:numPr>
          <w:ilvl w:val="2"/>
          <w:numId w:val="10"/>
        </w:numPr>
        <w:adjustRightInd w:val="0"/>
        <w:snapToGrid w:val="0"/>
        <w:spacing w:after="0" w:line="240" w:lineRule="auto"/>
        <w:ind w:firstLineChars="0"/>
        <w:rPr>
          <w:sz w:val="20"/>
          <w:szCs w:val="20"/>
        </w:rPr>
      </w:pPr>
      <w:r>
        <w:rPr>
          <w:sz w:val="20"/>
          <w:szCs w:val="20"/>
        </w:rPr>
        <w:t>Alt5 RI-specific for RI</w:t>
      </w:r>
      <w:r>
        <w:rPr>
          <w:sz w:val="20"/>
          <w:szCs w:val="20"/>
        </w:rPr>
        <w:sym w:font="Symbol" w:char="F0CE"/>
      </w:r>
      <w:r>
        <w:rPr>
          <w:sz w:val="20"/>
          <w:szCs w:val="20"/>
        </w:rPr>
        <w:t>{3,4}, layer-common</w:t>
      </w:r>
    </w:p>
    <w:p w:rsidR="00867347" w:rsidRDefault="009414C0">
      <w:pPr>
        <w:pStyle w:val="ListParagraph2"/>
        <w:numPr>
          <w:ilvl w:val="2"/>
          <w:numId w:val="10"/>
        </w:numPr>
        <w:adjustRightInd w:val="0"/>
        <w:snapToGrid w:val="0"/>
        <w:spacing w:after="0" w:line="240" w:lineRule="auto"/>
        <w:ind w:firstLineChars="0"/>
        <w:rPr>
          <w:sz w:val="20"/>
          <w:szCs w:val="20"/>
        </w:rPr>
      </w:pPr>
      <w:r>
        <w:rPr>
          <w:sz w:val="20"/>
          <w:szCs w:val="20"/>
        </w:rPr>
        <w:t>Alt6 RI-specific for RI</w:t>
      </w:r>
      <w:r>
        <w:rPr>
          <w:sz w:val="20"/>
          <w:szCs w:val="20"/>
        </w:rPr>
        <w:sym w:font="Symbol" w:char="F0CE"/>
      </w:r>
      <w:r>
        <w:rPr>
          <w:sz w:val="20"/>
          <w:szCs w:val="20"/>
        </w:rPr>
        <w:t>{3,4}, layer-/layer-group-specific</w:t>
      </w:r>
    </w:p>
    <w:p w:rsidR="00867347" w:rsidRDefault="009414C0">
      <w:pPr>
        <w:pStyle w:val="ListParagraph2"/>
        <w:numPr>
          <w:ilvl w:val="1"/>
          <w:numId w:val="10"/>
        </w:numPr>
        <w:adjustRightInd w:val="0"/>
        <w:snapToGrid w:val="0"/>
        <w:spacing w:after="0" w:line="240" w:lineRule="auto"/>
        <w:ind w:firstLineChars="0"/>
        <w:rPr>
          <w:sz w:val="20"/>
          <w:szCs w:val="20"/>
        </w:rPr>
      </w:pPr>
      <w:r>
        <w:rPr>
          <w:sz w:val="20"/>
          <w:szCs w:val="20"/>
        </w:rPr>
        <w:t>Note: For RI=1 and 2, RI-common, layer-common setting has been agreed</w:t>
      </w:r>
    </w:p>
    <w:p w:rsidR="00867347" w:rsidRDefault="009414C0">
      <w:pPr>
        <w:pStyle w:val="ListParagraph2"/>
        <w:numPr>
          <w:ilvl w:val="1"/>
          <w:numId w:val="10"/>
        </w:numPr>
        <w:adjustRightInd w:val="0"/>
        <w:snapToGrid w:val="0"/>
        <w:spacing w:after="0" w:line="240" w:lineRule="auto"/>
        <w:ind w:firstLineChars="0"/>
        <w:rPr>
          <w:sz w:val="20"/>
          <w:szCs w:val="20"/>
        </w:rPr>
      </w:pPr>
      <w:r>
        <w:rPr>
          <w:sz w:val="20"/>
          <w:szCs w:val="20"/>
        </w:rPr>
        <w:t>Note: No other alternatives will be considered</w:t>
      </w:r>
    </w:p>
    <w:p w:rsidR="00867347" w:rsidRDefault="009414C0">
      <w:pPr>
        <w:adjustRightInd w:val="0"/>
        <w:snapToGrid w:val="0"/>
        <w:spacing w:after="0" w:line="240" w:lineRule="auto"/>
        <w:rPr>
          <w:b/>
          <w:sz w:val="20"/>
          <w:szCs w:val="20"/>
        </w:rPr>
      </w:pPr>
      <w:r>
        <w:rPr>
          <w:b/>
          <w:sz w:val="20"/>
          <w:szCs w:val="20"/>
        </w:rPr>
        <w:t>Agreement</w:t>
      </w:r>
    </w:p>
    <w:p w:rsidR="00867347" w:rsidRDefault="009414C0">
      <w:pPr>
        <w:adjustRightInd w:val="0"/>
        <w:snapToGrid w:val="0"/>
        <w:spacing w:after="0" w:line="240" w:lineRule="auto"/>
        <w:rPr>
          <w:sz w:val="20"/>
          <w:szCs w:val="20"/>
        </w:rPr>
      </w:pPr>
      <w:r>
        <w:rPr>
          <w:sz w:val="20"/>
          <w:szCs w:val="20"/>
        </w:rPr>
        <w:t>On the max # NZ coefficients for RI</w:t>
      </w:r>
      <w:r>
        <w:rPr>
          <w:sz w:val="20"/>
          <w:szCs w:val="20"/>
        </w:rPr>
        <w:sym w:font="Symbol" w:char="F0CE"/>
      </w:r>
      <w:r>
        <w:rPr>
          <w:sz w:val="20"/>
          <w:szCs w:val="20"/>
        </w:rPr>
        <w:t>{3,4}, down select from the following alternatives (no other alternatives will be considered)</w:t>
      </w:r>
    </w:p>
    <w:p w:rsidR="00867347" w:rsidRDefault="009414C0">
      <w:pPr>
        <w:pStyle w:val="ListParagraph2"/>
        <w:numPr>
          <w:ilvl w:val="0"/>
          <w:numId w:val="11"/>
        </w:numPr>
        <w:adjustRightInd w:val="0"/>
        <w:snapToGrid w:val="0"/>
        <w:spacing w:after="0" w:line="240" w:lineRule="auto"/>
        <w:ind w:firstLineChars="0"/>
        <w:rPr>
          <w:sz w:val="20"/>
          <w:szCs w:val="20"/>
        </w:rPr>
      </w:pPr>
      <w:r>
        <w:rPr>
          <w:sz w:val="20"/>
          <w:szCs w:val="20"/>
        </w:rPr>
        <w:t>Alt0. For RI</w:t>
      </w:r>
      <w:r>
        <w:rPr>
          <w:sz w:val="20"/>
          <w:szCs w:val="20"/>
        </w:rPr>
        <w:sym w:font="Symbol" w:char="F0CE"/>
      </w:r>
      <w:r>
        <w:rPr>
          <w:sz w:val="20"/>
          <w:szCs w:val="20"/>
        </w:rPr>
        <w:t xml:space="preserve">{1,2,3,4}, there is only one β value </w:t>
      </w:r>
    </w:p>
    <w:p w:rsidR="00867347" w:rsidRDefault="009414C0">
      <w:pPr>
        <w:pStyle w:val="ListParagraph2"/>
        <w:numPr>
          <w:ilvl w:val="0"/>
          <w:numId w:val="11"/>
        </w:numPr>
        <w:adjustRightInd w:val="0"/>
        <w:snapToGrid w:val="0"/>
        <w:spacing w:after="0" w:line="240" w:lineRule="auto"/>
        <w:ind w:firstLineChars="0"/>
        <w:rPr>
          <w:sz w:val="20"/>
          <w:szCs w:val="20"/>
        </w:rPr>
      </w:pPr>
      <w:r>
        <w:rPr>
          <w:sz w:val="20"/>
          <w:szCs w:val="20"/>
        </w:rPr>
        <w:t>Alt1. Total max # NZ coefficients across all layers ≤ 2</w:t>
      </w:r>
      <w:r>
        <w:rPr>
          <w:rStyle w:val="Emphasis"/>
          <w:i w:val="0"/>
          <w:sz w:val="20"/>
          <w:szCs w:val="20"/>
        </w:rPr>
        <w:t>K</w:t>
      </w:r>
      <w:r>
        <w:rPr>
          <w:rStyle w:val="Emphasis"/>
          <w:i w:val="0"/>
          <w:sz w:val="20"/>
          <w:szCs w:val="20"/>
          <w:vertAlign w:val="subscript"/>
        </w:rPr>
        <w:t>0</w:t>
      </w:r>
      <w:r>
        <w:rPr>
          <w:sz w:val="20"/>
          <w:szCs w:val="20"/>
        </w:rPr>
        <w:t xml:space="preserve"> (the </w:t>
      </w:r>
      <w:r>
        <w:rPr>
          <w:rStyle w:val="Emphasis"/>
          <w:i w:val="0"/>
          <w:sz w:val="20"/>
          <w:szCs w:val="20"/>
        </w:rPr>
        <w:t>K</w:t>
      </w:r>
      <w:r>
        <w:rPr>
          <w:rStyle w:val="Emphasis"/>
          <w:i w:val="0"/>
          <w:sz w:val="20"/>
          <w:szCs w:val="20"/>
          <w:vertAlign w:val="subscript"/>
        </w:rPr>
        <w:t>0</w:t>
      </w:r>
      <w:r>
        <w:rPr>
          <w:sz w:val="20"/>
          <w:szCs w:val="20"/>
        </w:rPr>
        <w:t xml:space="preserve"> value set for RI</w:t>
      </w:r>
      <w:r>
        <w:rPr>
          <w:sz w:val="20"/>
          <w:szCs w:val="20"/>
        </w:rPr>
        <w:sym w:font="Symbol" w:char="F0CE"/>
      </w:r>
      <w:r>
        <w:rPr>
          <w:sz w:val="20"/>
          <w:szCs w:val="20"/>
        </w:rPr>
        <w:t>{1,2})</w:t>
      </w:r>
    </w:p>
    <w:p w:rsidR="00867347" w:rsidRDefault="009414C0">
      <w:pPr>
        <w:pStyle w:val="ListParagraph2"/>
        <w:numPr>
          <w:ilvl w:val="0"/>
          <w:numId w:val="11"/>
        </w:numPr>
        <w:adjustRightInd w:val="0"/>
        <w:snapToGrid w:val="0"/>
        <w:spacing w:after="0" w:line="240" w:lineRule="auto"/>
        <w:ind w:firstLineChars="0"/>
        <w:rPr>
          <w:sz w:val="20"/>
          <w:szCs w:val="20"/>
        </w:rPr>
      </w:pPr>
      <w:r>
        <w:rPr>
          <w:sz w:val="20"/>
          <w:szCs w:val="20"/>
        </w:rPr>
        <w:t>Alt2. For RI</w:t>
      </w:r>
      <w:r>
        <w:rPr>
          <w:sz w:val="20"/>
          <w:szCs w:val="20"/>
        </w:rPr>
        <w:sym w:font="Symbol" w:char="F0CE"/>
      </w:r>
      <w:r>
        <w:rPr>
          <w:sz w:val="20"/>
          <w:szCs w:val="20"/>
        </w:rPr>
        <w:t>{3,4}, there is only one value of max # NZ coefficients per layer &lt;</w:t>
      </w:r>
      <w:r>
        <w:rPr>
          <w:rStyle w:val="Emphasis"/>
          <w:i w:val="0"/>
          <w:sz w:val="20"/>
          <w:szCs w:val="20"/>
        </w:rPr>
        <w:t xml:space="preserve"> K</w:t>
      </w:r>
      <w:r>
        <w:rPr>
          <w:rStyle w:val="Emphasis"/>
          <w:i w:val="0"/>
          <w:sz w:val="20"/>
          <w:szCs w:val="20"/>
          <w:vertAlign w:val="subscript"/>
        </w:rPr>
        <w:t>0</w:t>
      </w:r>
      <w:r>
        <w:rPr>
          <w:sz w:val="20"/>
          <w:szCs w:val="20"/>
        </w:rPr>
        <w:t xml:space="preserve"> where the </w:t>
      </w:r>
      <w:r>
        <w:rPr>
          <w:rStyle w:val="Emphasis"/>
          <w:i w:val="0"/>
          <w:sz w:val="20"/>
          <w:szCs w:val="20"/>
        </w:rPr>
        <w:t>K</w:t>
      </w:r>
      <w:r>
        <w:rPr>
          <w:rStyle w:val="Emphasis"/>
          <w:i w:val="0"/>
          <w:sz w:val="20"/>
          <w:szCs w:val="20"/>
          <w:vertAlign w:val="subscript"/>
        </w:rPr>
        <w:t>0</w:t>
      </w:r>
      <w:r>
        <w:rPr>
          <w:sz w:val="20"/>
          <w:szCs w:val="20"/>
        </w:rPr>
        <w:t xml:space="preserve"> value is set for RI</w:t>
      </w:r>
      <w:r>
        <w:rPr>
          <w:sz w:val="20"/>
          <w:szCs w:val="20"/>
        </w:rPr>
        <w:sym w:font="Symbol" w:char="F0CE"/>
      </w:r>
      <w:r>
        <w:rPr>
          <w:sz w:val="20"/>
          <w:szCs w:val="20"/>
        </w:rPr>
        <w:t>{1,2}</w:t>
      </w:r>
    </w:p>
    <w:p w:rsidR="00867347" w:rsidRDefault="009414C0">
      <w:pPr>
        <w:pStyle w:val="ListParagraph2"/>
        <w:numPr>
          <w:ilvl w:val="0"/>
          <w:numId w:val="11"/>
        </w:numPr>
        <w:adjustRightInd w:val="0"/>
        <w:snapToGrid w:val="0"/>
        <w:spacing w:after="0" w:line="240" w:lineRule="auto"/>
        <w:ind w:firstLineChars="0"/>
        <w:rPr>
          <w:sz w:val="20"/>
          <w:szCs w:val="20"/>
        </w:rPr>
      </w:pPr>
      <w:r>
        <w:rPr>
          <w:sz w:val="20"/>
          <w:szCs w:val="20"/>
        </w:rPr>
        <w:t>Alt3. Total max # NZ coefficients across all layers ≤ 2</w:t>
      </w:r>
      <w:r>
        <w:rPr>
          <w:sz w:val="20"/>
          <w:szCs w:val="20"/>
        </w:rPr>
        <w:sym w:font="Symbol" w:char="F061"/>
      </w:r>
      <w:r>
        <w:rPr>
          <w:rStyle w:val="Emphasis"/>
          <w:i w:val="0"/>
          <w:sz w:val="20"/>
          <w:szCs w:val="20"/>
        </w:rPr>
        <w:t>K</w:t>
      </w:r>
      <w:r>
        <w:rPr>
          <w:rStyle w:val="Emphasis"/>
          <w:i w:val="0"/>
          <w:sz w:val="20"/>
          <w:szCs w:val="20"/>
          <w:vertAlign w:val="subscript"/>
        </w:rPr>
        <w:t>0</w:t>
      </w:r>
      <w:r>
        <w:rPr>
          <w:sz w:val="20"/>
          <w:szCs w:val="20"/>
        </w:rPr>
        <w:fldChar w:fldCharType="begin"/>
      </w:r>
      <w:r>
        <w:rPr>
          <w:sz w:val="20"/>
          <w:szCs w:val="20"/>
        </w:rPr>
        <w:instrText xml:space="preserve"> QUOTE </w:instrText>
      </w:r>
      <m:oMath>
        <m:r>
          <m:rPr>
            <m:sty m:val="p"/>
          </m:rPr>
          <w:rPr>
            <w:rFonts w:ascii="Cambria Math" w:hAnsi="Cambria Math"/>
            <w:sz w:val="20"/>
            <w:szCs w:val="20"/>
          </w:rPr>
          <m:t>2α</m:t>
        </m:r>
        <m:sSub>
          <m:sSubPr>
            <m:ctrlPr>
              <w:rPr>
                <w:rFonts w:ascii="Cambria Math" w:eastAsia="Calibri"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oMath>
      <w:r>
        <w:rPr>
          <w:sz w:val="20"/>
          <w:szCs w:val="20"/>
        </w:rPr>
        <w:instrText xml:space="preserve"> </w:instrText>
      </w:r>
      <w:r>
        <w:rPr>
          <w:sz w:val="20"/>
          <w:szCs w:val="20"/>
        </w:rPr>
        <w:fldChar w:fldCharType="end"/>
      </w:r>
      <w:r>
        <w:rPr>
          <w:sz w:val="20"/>
          <w:szCs w:val="20"/>
        </w:rPr>
        <w:t xml:space="preserve"> (the </w:t>
      </w:r>
      <w:r>
        <w:rPr>
          <w:rStyle w:val="Emphasis"/>
          <w:i w:val="0"/>
          <w:sz w:val="20"/>
          <w:szCs w:val="20"/>
        </w:rPr>
        <w:t>K</w:t>
      </w:r>
      <w:r>
        <w:rPr>
          <w:rStyle w:val="Emphasis"/>
          <w:i w:val="0"/>
          <w:sz w:val="20"/>
          <w:szCs w:val="20"/>
          <w:vertAlign w:val="subscript"/>
        </w:rPr>
        <w:t>0</w:t>
      </w:r>
      <w:r>
        <w:rPr>
          <w:sz w:val="20"/>
          <w:szCs w:val="20"/>
        </w:rPr>
        <w:t xml:space="preserve"> value set for RI</w:t>
      </w:r>
      <w:r>
        <w:rPr>
          <w:sz w:val="20"/>
          <w:szCs w:val="20"/>
        </w:rPr>
        <w:sym w:font="Symbol" w:char="F0CE"/>
      </w:r>
      <w:r>
        <w:rPr>
          <w:sz w:val="20"/>
          <w:szCs w:val="20"/>
        </w:rPr>
        <w:t xml:space="preserve">{1,2}) where </w:t>
      </w:r>
      <w:r>
        <w:rPr>
          <w:sz w:val="20"/>
          <w:szCs w:val="20"/>
        </w:rPr>
        <w:fldChar w:fldCharType="begin"/>
      </w:r>
      <w:r>
        <w:rPr>
          <w:sz w:val="20"/>
          <w:szCs w:val="20"/>
        </w:rPr>
        <w:instrText xml:space="preserve"> QUOTE </w:instrText>
      </w:r>
      <m:oMath>
        <m:r>
          <m:rPr>
            <m:sty m:val="p"/>
          </m:rPr>
          <w:rPr>
            <w:rFonts w:ascii="Cambria Math" w:hAnsi="Cambria Math"/>
            <w:sz w:val="20"/>
            <w:szCs w:val="20"/>
          </w:rPr>
          <m:t>α</m:t>
        </m:r>
      </m:oMath>
      <w:r>
        <w:rPr>
          <w:sz w:val="20"/>
          <w:szCs w:val="20"/>
        </w:rPr>
        <w:instrText xml:space="preserve"> </w:instrText>
      </w:r>
      <w:r>
        <w:rPr>
          <w:sz w:val="20"/>
          <w:szCs w:val="20"/>
        </w:rPr>
        <w:fldChar w:fldCharType="separate"/>
      </w:r>
      <w:r>
        <w:rPr>
          <w:sz w:val="20"/>
          <w:szCs w:val="20"/>
        </w:rPr>
        <w:sym w:font="Symbol" w:char="F061"/>
      </w:r>
      <w:r>
        <w:rPr>
          <w:sz w:val="20"/>
          <w:szCs w:val="20"/>
        </w:rPr>
        <w:fldChar w:fldCharType="end"/>
      </w:r>
      <w:r>
        <w:rPr>
          <w:sz w:val="20"/>
          <w:szCs w:val="20"/>
        </w:rPr>
        <w:t xml:space="preserve"> is fixed and RI-specific</w:t>
      </w:r>
    </w:p>
    <w:p w:rsidR="00867347" w:rsidRDefault="009414C0">
      <w:pPr>
        <w:pStyle w:val="ListParagraph2"/>
        <w:numPr>
          <w:ilvl w:val="1"/>
          <w:numId w:val="11"/>
        </w:numPr>
        <w:adjustRightInd w:val="0"/>
        <w:snapToGrid w:val="0"/>
        <w:spacing w:after="0" w:line="240" w:lineRule="auto"/>
        <w:ind w:firstLineChars="0"/>
        <w:rPr>
          <w:sz w:val="20"/>
          <w:szCs w:val="20"/>
        </w:rPr>
      </w:pPr>
      <w:r>
        <w:rPr>
          <w:sz w:val="20"/>
          <w:szCs w:val="20"/>
        </w:rPr>
        <w:t xml:space="preserve">FFS: value of </w:t>
      </w:r>
      <w:r>
        <w:rPr>
          <w:sz w:val="20"/>
          <w:szCs w:val="20"/>
        </w:rPr>
        <w:sym w:font="Symbol" w:char="F061"/>
      </w:r>
      <w:r>
        <w:rPr>
          <w:sz w:val="20"/>
          <w:szCs w:val="20"/>
        </w:rPr>
        <w:t xml:space="preserve"> per agreement that the overhead for RI=3 or 4 should at least be comparable to RI=2 </w:t>
      </w:r>
    </w:p>
    <w:p w:rsidR="00867347" w:rsidRDefault="009414C0">
      <w:pPr>
        <w:pStyle w:val="ListParagraph2"/>
        <w:numPr>
          <w:ilvl w:val="0"/>
          <w:numId w:val="11"/>
        </w:numPr>
        <w:adjustRightInd w:val="0"/>
        <w:snapToGrid w:val="0"/>
        <w:spacing w:after="0" w:line="240" w:lineRule="auto"/>
        <w:ind w:firstLineChars="0"/>
        <w:rPr>
          <w:sz w:val="20"/>
          <w:szCs w:val="20"/>
        </w:rPr>
      </w:pPr>
      <w:r>
        <w:rPr>
          <w:sz w:val="20"/>
          <w:szCs w:val="20"/>
        </w:rPr>
        <w:t>Alt4. For RI</w:t>
      </w:r>
      <w:r>
        <w:rPr>
          <w:sz w:val="20"/>
          <w:szCs w:val="20"/>
        </w:rPr>
        <w:sym w:font="Symbol" w:char="F0CE"/>
      </w:r>
      <w:r>
        <w:rPr>
          <w:sz w:val="20"/>
          <w:szCs w:val="20"/>
        </w:rPr>
        <w:t>{3,4}, there is only one value of max # NZ coefficients per layer &lt;</w:t>
      </w:r>
      <w:r>
        <w:rPr>
          <w:rStyle w:val="Emphasis"/>
          <w:i w:val="0"/>
          <w:sz w:val="20"/>
          <w:szCs w:val="20"/>
        </w:rPr>
        <w:t xml:space="preserve"> </w:t>
      </w:r>
      <w:r>
        <w:rPr>
          <w:sz w:val="20"/>
          <w:szCs w:val="20"/>
        </w:rPr>
        <w:sym w:font="Symbol" w:char="F061"/>
      </w:r>
      <w:r>
        <w:rPr>
          <w:rStyle w:val="Emphasis"/>
          <w:i w:val="0"/>
          <w:sz w:val="20"/>
          <w:szCs w:val="20"/>
        </w:rPr>
        <w:t>K</w:t>
      </w:r>
      <w:r>
        <w:rPr>
          <w:rStyle w:val="Emphasis"/>
          <w:i w:val="0"/>
          <w:sz w:val="20"/>
          <w:szCs w:val="20"/>
          <w:vertAlign w:val="subscript"/>
        </w:rPr>
        <w:t>0</w:t>
      </w:r>
      <w:r>
        <w:rPr>
          <w:sz w:val="20"/>
          <w:szCs w:val="20"/>
        </w:rPr>
        <w:t xml:space="preserve"> where the </w:t>
      </w:r>
      <w:r>
        <w:rPr>
          <w:rStyle w:val="Emphasis"/>
          <w:i w:val="0"/>
          <w:sz w:val="20"/>
          <w:szCs w:val="20"/>
        </w:rPr>
        <w:t>K</w:t>
      </w:r>
      <w:r>
        <w:rPr>
          <w:rStyle w:val="Emphasis"/>
          <w:i w:val="0"/>
          <w:sz w:val="20"/>
          <w:szCs w:val="20"/>
          <w:vertAlign w:val="subscript"/>
        </w:rPr>
        <w:t>0</w:t>
      </w:r>
      <w:r>
        <w:rPr>
          <w:sz w:val="20"/>
          <w:szCs w:val="20"/>
        </w:rPr>
        <w:t xml:space="preserve"> value is set for RI</w:t>
      </w:r>
      <w:r>
        <w:rPr>
          <w:sz w:val="20"/>
          <w:szCs w:val="20"/>
        </w:rPr>
        <w:sym w:font="Symbol" w:char="F0CE"/>
      </w:r>
      <w:r>
        <w:rPr>
          <w:sz w:val="20"/>
          <w:szCs w:val="20"/>
        </w:rPr>
        <w:t xml:space="preserve">{1,2} where </w:t>
      </w:r>
      <w:r>
        <w:rPr>
          <w:sz w:val="20"/>
          <w:szCs w:val="20"/>
        </w:rPr>
        <w:sym w:font="Symbol" w:char="F061"/>
      </w:r>
      <w:r>
        <w:rPr>
          <w:sz w:val="20"/>
          <w:szCs w:val="20"/>
        </w:rPr>
        <w:t xml:space="preserve"> is fixed and RI-specific</w:t>
      </w:r>
    </w:p>
    <w:p w:rsidR="00867347" w:rsidRDefault="009414C0">
      <w:pPr>
        <w:pStyle w:val="ListParagraph2"/>
        <w:numPr>
          <w:ilvl w:val="1"/>
          <w:numId w:val="11"/>
        </w:numPr>
        <w:adjustRightInd w:val="0"/>
        <w:snapToGrid w:val="0"/>
        <w:spacing w:after="0" w:line="240" w:lineRule="auto"/>
        <w:ind w:firstLineChars="0"/>
        <w:rPr>
          <w:sz w:val="20"/>
          <w:szCs w:val="20"/>
        </w:rPr>
      </w:pPr>
      <w:r>
        <w:rPr>
          <w:sz w:val="20"/>
          <w:szCs w:val="20"/>
        </w:rPr>
        <w:t xml:space="preserve">FFS: value of </w:t>
      </w:r>
      <w:r>
        <w:rPr>
          <w:sz w:val="20"/>
          <w:szCs w:val="20"/>
        </w:rPr>
        <w:sym w:font="Symbol" w:char="F061"/>
      </w:r>
      <w:r>
        <w:rPr>
          <w:sz w:val="20"/>
          <w:szCs w:val="20"/>
        </w:rPr>
        <w:t xml:space="preserve"> per agreement that the overhead for RI=3 or 4 should at least be comparable to RI=2</w:t>
      </w:r>
    </w:p>
    <w:p w:rsidR="00867347" w:rsidRDefault="009414C0">
      <w:pPr>
        <w:pStyle w:val="ListParagraph2"/>
        <w:numPr>
          <w:ilvl w:val="0"/>
          <w:numId w:val="11"/>
        </w:numPr>
        <w:adjustRightInd w:val="0"/>
        <w:snapToGrid w:val="0"/>
        <w:spacing w:after="0" w:line="240" w:lineRule="auto"/>
        <w:ind w:firstLineChars="0"/>
        <w:rPr>
          <w:sz w:val="20"/>
          <w:szCs w:val="20"/>
        </w:rPr>
      </w:pPr>
      <w:r>
        <w:rPr>
          <w:sz w:val="20"/>
          <w:szCs w:val="20"/>
        </w:rPr>
        <w:t>Note: For RI</w:t>
      </w:r>
      <w:r>
        <w:rPr>
          <w:sz w:val="20"/>
          <w:szCs w:val="20"/>
        </w:rPr>
        <w:sym w:font="Symbol" w:char="F0CE"/>
      </w:r>
      <w:r>
        <w:rPr>
          <w:sz w:val="20"/>
          <w:szCs w:val="20"/>
        </w:rPr>
        <w:t xml:space="preserve">{1,2}, there is only one </w:t>
      </w:r>
      <w:r>
        <w:rPr>
          <w:rStyle w:val="Emphasis"/>
          <w:i w:val="0"/>
          <w:sz w:val="20"/>
          <w:szCs w:val="20"/>
        </w:rPr>
        <w:t>K</w:t>
      </w:r>
      <w:r>
        <w:rPr>
          <w:rStyle w:val="Emphasis"/>
          <w:i w:val="0"/>
          <w:sz w:val="20"/>
          <w:szCs w:val="20"/>
          <w:vertAlign w:val="subscript"/>
        </w:rPr>
        <w:t>0</w:t>
      </w:r>
      <w:r>
        <w:rPr>
          <w:sz w:val="20"/>
          <w:szCs w:val="20"/>
        </w:rPr>
        <w:t xml:space="preserve"> value (=max # NZ coefficients per layer)</w:t>
      </w:r>
    </w:p>
    <w:p w:rsidR="00867347" w:rsidRDefault="009414C0">
      <w:pPr>
        <w:adjustRightInd w:val="0"/>
        <w:snapToGrid w:val="0"/>
        <w:spacing w:after="0" w:line="240" w:lineRule="auto"/>
        <w:rPr>
          <w:b/>
          <w:sz w:val="20"/>
          <w:szCs w:val="20"/>
        </w:rPr>
      </w:pPr>
      <w:r>
        <w:rPr>
          <w:b/>
          <w:sz w:val="20"/>
          <w:szCs w:val="20"/>
        </w:rPr>
        <w:t>Agreement</w:t>
      </w:r>
    </w:p>
    <w:p w:rsidR="00867347" w:rsidRDefault="009414C0">
      <w:pPr>
        <w:adjustRightInd w:val="0"/>
        <w:snapToGrid w:val="0"/>
        <w:spacing w:after="0" w:line="240" w:lineRule="auto"/>
        <w:rPr>
          <w:rFonts w:eastAsia="Malgun Gothic"/>
          <w:sz w:val="20"/>
          <w:szCs w:val="20"/>
        </w:rPr>
      </w:pPr>
      <w:r>
        <w:rPr>
          <w:rFonts w:eastAsia="Malgun Gothic"/>
          <w:sz w:val="20"/>
          <w:szCs w:val="20"/>
        </w:rPr>
        <w:t xml:space="preserve">Decide in RAN1#96bis whether to support </w:t>
      </w:r>
      <w:r>
        <w:rPr>
          <w:rFonts w:eastAsia="Malgun Gothic"/>
          <w:i/>
          <w:sz w:val="20"/>
          <w:szCs w:val="20"/>
        </w:rPr>
        <w:t>L</w:t>
      </w:r>
      <w:r>
        <w:rPr>
          <w:rFonts w:eastAsia="Malgun Gothic"/>
          <w:sz w:val="20"/>
          <w:szCs w:val="20"/>
        </w:rPr>
        <w:t xml:space="preserve">=6 (in addition to </w:t>
      </w:r>
      <w:r>
        <w:rPr>
          <w:rFonts w:eastAsia="Malgun Gothic"/>
          <w:i/>
          <w:sz w:val="20"/>
          <w:szCs w:val="20"/>
        </w:rPr>
        <w:t>L</w:t>
      </w:r>
      <w:r>
        <w:rPr>
          <w:rFonts w:eastAsia="Malgun Gothic"/>
          <w:sz w:val="20"/>
          <w:szCs w:val="20"/>
        </w:rPr>
        <w:t xml:space="preserve">=2 and 4) taking into account </w:t>
      </w:r>
      <w:r>
        <w:rPr>
          <w:sz w:val="20"/>
          <w:szCs w:val="20"/>
        </w:rPr>
        <w:t>RI</w:t>
      </w:r>
      <w:r>
        <w:rPr>
          <w:sz w:val="20"/>
          <w:szCs w:val="20"/>
        </w:rPr>
        <w:sym w:font="Symbol" w:char="F0CE"/>
      </w:r>
      <w:r>
        <w:rPr>
          <w:sz w:val="20"/>
          <w:szCs w:val="20"/>
        </w:rPr>
        <w:t>{3,4}</w:t>
      </w:r>
      <w:r>
        <w:rPr>
          <w:rFonts w:eastAsia="Malgun Gothic"/>
          <w:sz w:val="20"/>
          <w:szCs w:val="20"/>
        </w:rPr>
        <w:t xml:space="preserve"> and/or 32 ports</w:t>
      </w:r>
    </w:p>
    <w:p w:rsidR="00867347" w:rsidRDefault="009414C0">
      <w:pPr>
        <w:pStyle w:val="ListParagraph2"/>
        <w:numPr>
          <w:ilvl w:val="0"/>
          <w:numId w:val="12"/>
        </w:numPr>
        <w:adjustRightInd w:val="0"/>
        <w:snapToGrid w:val="0"/>
        <w:spacing w:after="0" w:line="240" w:lineRule="auto"/>
        <w:ind w:firstLineChars="0"/>
        <w:rPr>
          <w:rFonts w:eastAsia="Malgun Gothic"/>
          <w:sz w:val="20"/>
          <w:szCs w:val="20"/>
        </w:rPr>
      </w:pPr>
      <w:r>
        <w:rPr>
          <w:rFonts w:eastAsia="Malgun Gothic"/>
          <w:sz w:val="20"/>
          <w:szCs w:val="20"/>
        </w:rPr>
        <w:t xml:space="preserve">Also consider possible restriction(s) on the use case for supporting the additional value(s) of </w:t>
      </w:r>
      <w:r>
        <w:rPr>
          <w:rFonts w:eastAsia="Malgun Gothic"/>
          <w:i/>
          <w:sz w:val="20"/>
          <w:szCs w:val="20"/>
        </w:rPr>
        <w:t>L</w:t>
      </w:r>
      <w:r>
        <w:rPr>
          <w:rFonts w:eastAsia="Malgun Gothic"/>
          <w:sz w:val="20"/>
          <w:szCs w:val="20"/>
        </w:rPr>
        <w:t xml:space="preserve"> </w:t>
      </w:r>
    </w:p>
    <w:p w:rsidR="00867347" w:rsidRDefault="009414C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 xml:space="preserve">In this contribution, we give our </w:t>
      </w:r>
      <w:r>
        <w:rPr>
          <w:rFonts w:eastAsia="微软雅黑"/>
          <w:sz w:val="20"/>
          <w:szCs w:val="20"/>
          <w:lang w:val="en-GB"/>
        </w:rPr>
        <w:t>evaluation results</w:t>
      </w:r>
      <w:r>
        <w:rPr>
          <w:rFonts w:eastAsia="微软雅黑" w:hint="eastAsia"/>
          <w:sz w:val="20"/>
          <w:szCs w:val="20"/>
          <w:lang w:val="en-GB"/>
        </w:rPr>
        <w:t xml:space="preserve"> on </w:t>
      </w:r>
      <w:r>
        <w:rPr>
          <w:rFonts w:eastAsia="微软雅黑"/>
          <w:sz w:val="20"/>
          <w:szCs w:val="20"/>
          <w:lang w:val="en-GB"/>
        </w:rPr>
        <w:t>different alternatives for the extension of Type II compression codebook to rank 3-4</w:t>
      </w:r>
      <w:r>
        <w:rPr>
          <w:rFonts w:eastAsia="微软雅黑" w:hint="eastAsia"/>
          <w:sz w:val="20"/>
          <w:szCs w:val="20"/>
          <w:lang w:val="en-GB"/>
        </w:rPr>
        <w:t>.</w:t>
      </w:r>
    </w:p>
    <w:p w:rsidR="00867347" w:rsidRDefault="009414C0">
      <w:pPr>
        <w:pStyle w:val="Heading1"/>
        <w:tabs>
          <w:tab w:val="clear" w:pos="432"/>
        </w:tabs>
        <w:snapToGrid w:val="0"/>
        <w:spacing w:beforeLines="50" w:before="120" w:afterLines="50" w:after="120"/>
        <w:ind w:left="431" w:hanging="431"/>
        <w:rPr>
          <w:sz w:val="28"/>
          <w:lang w:val="en-US"/>
        </w:rPr>
      </w:pPr>
      <w:r>
        <w:rPr>
          <w:sz w:val="28"/>
          <w:lang w:val="en-US"/>
        </w:rPr>
        <w:t xml:space="preserve">Scheme description </w:t>
      </w:r>
    </w:p>
    <w:p w:rsidR="00867347" w:rsidRDefault="009414C0">
      <w:pPr>
        <w:snapToGrid w:val="0"/>
        <w:spacing w:before="120" w:afterLines="50" w:after="120" w:line="240" w:lineRule="auto"/>
        <w:jc w:val="both"/>
        <w:rPr>
          <w:rFonts w:eastAsia="微软雅黑"/>
          <w:sz w:val="20"/>
          <w:szCs w:val="20"/>
        </w:rPr>
      </w:pPr>
      <w:r>
        <w:rPr>
          <w:rFonts w:eastAsia="微软雅黑"/>
          <w:sz w:val="20"/>
          <w:szCs w:val="20"/>
        </w:rPr>
        <w:t>Based on the email discussion [3] after RAN1#96, numerous alternatives are proposed on how to extend the Rel-16 compression codebook to rank 3-4. We analyze these alternatives in our contribution [2] with the following observations</w:t>
      </w:r>
    </w:p>
    <w:p w:rsidR="00867347" w:rsidRDefault="009414C0">
      <w:pPr>
        <w:pStyle w:val="ListParagraph2"/>
        <w:numPr>
          <w:ilvl w:val="0"/>
          <w:numId w:val="7"/>
        </w:numPr>
        <w:snapToGrid w:val="0"/>
        <w:spacing w:before="120" w:afterLines="50" w:after="120" w:line="240" w:lineRule="auto"/>
        <w:ind w:firstLineChars="0"/>
        <w:jc w:val="both"/>
        <w:rPr>
          <w:rFonts w:eastAsia="微软雅黑"/>
          <w:bCs/>
          <w:sz w:val="20"/>
          <w:szCs w:val="20"/>
        </w:rPr>
      </w:pPr>
      <w:r>
        <w:rPr>
          <w:rFonts w:eastAsia="微软雅黑"/>
          <w:bCs/>
          <w:sz w:val="20"/>
          <w:szCs w:val="20"/>
        </w:rPr>
        <w:t xml:space="preserve">To adjust only one dimension from </w:t>
      </w:r>
      <w:r>
        <w:rPr>
          <w:rFonts w:eastAsia="微软雅黑"/>
          <w:sz w:val="20"/>
          <w:szCs w:val="20"/>
        </w:rPr>
        <w:t>L/p/</w:t>
      </w:r>
      <m:oMath>
        <m:r>
          <m:rPr>
            <m:sty m:val="p"/>
          </m:rPr>
          <w:rPr>
            <w:rFonts w:ascii="Cambria Math" w:eastAsia="微软雅黑" w:hAnsi="Cambria Math"/>
            <w:sz w:val="20"/>
            <w:szCs w:val="20"/>
          </w:rPr>
          <m:t>β</m:t>
        </m:r>
      </m:oMath>
      <w:r>
        <w:rPr>
          <w:rFonts w:eastAsia="微软雅黑" w:hint="eastAsia"/>
          <w:sz w:val="20"/>
          <w:szCs w:val="20"/>
        </w:rPr>
        <w:t xml:space="preserve"> </w:t>
      </w:r>
      <w:r>
        <w:rPr>
          <w:rFonts w:eastAsia="微软雅黑"/>
          <w:sz w:val="20"/>
          <w:szCs w:val="20"/>
        </w:rPr>
        <w:t>for different ranks is sufficient without causing too complicated specification impact.</w:t>
      </w:r>
    </w:p>
    <w:p w:rsidR="00867347" w:rsidRDefault="009414C0">
      <w:pPr>
        <w:pStyle w:val="ListParagraph2"/>
        <w:numPr>
          <w:ilvl w:val="0"/>
          <w:numId w:val="7"/>
        </w:numPr>
        <w:snapToGrid w:val="0"/>
        <w:spacing w:before="120" w:afterLines="50" w:after="120" w:line="240" w:lineRule="auto"/>
        <w:ind w:firstLineChars="0"/>
        <w:jc w:val="both"/>
        <w:rPr>
          <w:rFonts w:eastAsia="微软雅黑"/>
          <w:bCs/>
          <w:sz w:val="20"/>
          <w:szCs w:val="20"/>
        </w:rPr>
      </w:pPr>
      <w:r>
        <w:rPr>
          <w:rFonts w:eastAsia="微软雅黑"/>
          <w:sz w:val="20"/>
          <w:szCs w:val="20"/>
        </w:rPr>
        <w:t>All the alternatives can be seen as combination of adjusting L/p/</w:t>
      </w:r>
      <m:oMath>
        <m:r>
          <m:rPr>
            <m:sty m:val="p"/>
          </m:rPr>
          <w:rPr>
            <w:rFonts w:ascii="Cambria Math" w:eastAsia="微软雅黑" w:hAnsi="Cambria Math"/>
            <w:sz w:val="20"/>
            <w:szCs w:val="20"/>
          </w:rPr>
          <m:t>β</m:t>
        </m:r>
      </m:oMath>
      <w:r>
        <w:rPr>
          <w:rFonts w:eastAsia="微软雅黑" w:hint="eastAsia"/>
          <w:sz w:val="20"/>
          <w:szCs w:val="20"/>
        </w:rPr>
        <w:t xml:space="preserve"> </w:t>
      </w:r>
      <w:r>
        <w:rPr>
          <w:rFonts w:eastAsia="微软雅黑"/>
          <w:sz w:val="20"/>
          <w:szCs w:val="20"/>
        </w:rPr>
        <w:t>and layer-common/layer-specific L/p/</w:t>
      </w:r>
      <m:oMath>
        <m:r>
          <m:rPr>
            <m:sty m:val="p"/>
          </m:rPr>
          <w:rPr>
            <w:rFonts w:ascii="Cambria Math" w:eastAsia="微软雅黑" w:hAnsi="Cambria Math"/>
            <w:sz w:val="20"/>
            <w:szCs w:val="20"/>
          </w:rPr>
          <m:t>β</m:t>
        </m:r>
      </m:oMath>
      <w:r>
        <w:rPr>
          <w:rFonts w:eastAsia="微软雅黑" w:hint="eastAsia"/>
          <w:sz w:val="20"/>
          <w:szCs w:val="20"/>
        </w:rPr>
        <w:t>.</w:t>
      </w:r>
    </w:p>
    <w:p w:rsidR="00867347" w:rsidRDefault="009414C0">
      <w:pPr>
        <w:snapToGrid w:val="0"/>
        <w:spacing w:before="120" w:afterLines="50" w:after="120" w:line="240" w:lineRule="auto"/>
        <w:jc w:val="both"/>
        <w:rPr>
          <w:rFonts w:eastAsia="微软雅黑"/>
          <w:sz w:val="20"/>
          <w:szCs w:val="20"/>
        </w:rPr>
      </w:pPr>
      <w:r>
        <w:rPr>
          <w:rFonts w:eastAsia="微软雅黑"/>
          <w:sz w:val="20"/>
          <w:szCs w:val="20"/>
        </w:rPr>
        <w:t>According to the above analysis, we perform system-level simulation on a set of alternatives as follows.</w:t>
      </w:r>
    </w:p>
    <w:p w:rsidR="00867347" w:rsidRDefault="009414C0">
      <w:pPr>
        <w:pStyle w:val="ListParagraph2"/>
        <w:numPr>
          <w:ilvl w:val="0"/>
          <w:numId w:val="7"/>
        </w:numPr>
        <w:snapToGrid w:val="0"/>
        <w:spacing w:before="120" w:afterLines="50" w:after="120" w:line="240" w:lineRule="auto"/>
        <w:ind w:firstLineChars="0"/>
        <w:jc w:val="both"/>
        <w:rPr>
          <w:rFonts w:eastAsia="微软雅黑"/>
          <w:sz w:val="20"/>
          <w:szCs w:val="20"/>
        </w:rPr>
      </w:pPr>
      <w:r>
        <w:rPr>
          <w:rFonts w:eastAsia="微软雅黑"/>
          <w:sz w:val="20"/>
          <w:szCs w:val="20"/>
        </w:rPr>
        <w:t>Alt 1 (layer-common</w:t>
      </w:r>
      <w:r>
        <w:rPr>
          <w:rFonts w:eastAsia="微软雅黑" w:hint="eastAsia"/>
          <w:sz w:val="20"/>
          <w:szCs w:val="20"/>
        </w:rPr>
        <w:t xml:space="preserve"> </w:t>
      </w:r>
      <m:oMath>
        <m:r>
          <m:rPr>
            <m:sty m:val="p"/>
          </m:rPr>
          <w:rPr>
            <w:rFonts w:ascii="Cambria Math" w:eastAsia="微软雅黑" w:hAnsi="Cambria Math"/>
            <w:sz w:val="20"/>
            <w:szCs w:val="20"/>
          </w:rPr>
          <m:t>β</m:t>
        </m:r>
      </m:oMath>
      <w:r>
        <w:rPr>
          <w:rFonts w:eastAsia="微软雅黑"/>
          <w:sz w:val="20"/>
          <w:szCs w:val="20"/>
        </w:rPr>
        <w:t>): Adjust</w:t>
      </w:r>
      <w:r>
        <w:rPr>
          <w:rFonts w:eastAsia="微软雅黑" w:hint="eastAsia"/>
          <w:sz w:val="20"/>
          <w:szCs w:val="20"/>
        </w:rPr>
        <w:t xml:space="preserve"> </w:t>
      </w:r>
      <m:oMath>
        <m:r>
          <m:rPr>
            <m:sty m:val="p"/>
          </m:rPr>
          <w:rPr>
            <w:rFonts w:ascii="Cambria Math" w:eastAsia="微软雅黑" w:hAnsi="Cambria Math"/>
            <w:sz w:val="20"/>
            <w:szCs w:val="20"/>
          </w:rPr>
          <m:t>β</m:t>
        </m:r>
      </m:oMath>
      <w:r>
        <w:rPr>
          <w:rFonts w:eastAsia="微软雅黑" w:hint="eastAsia"/>
          <w:sz w:val="20"/>
          <w:szCs w:val="20"/>
        </w:rPr>
        <w:t xml:space="preserve"> </w:t>
      </w:r>
      <w:r>
        <w:rPr>
          <w:rFonts w:eastAsia="微软雅黑"/>
          <w:sz w:val="20"/>
          <w:szCs w:val="20"/>
        </w:rPr>
        <w:t>+ Layer-common</w:t>
      </w:r>
      <w:r>
        <w:rPr>
          <w:rFonts w:eastAsia="微软雅黑" w:hint="eastAsia"/>
          <w:sz w:val="20"/>
          <w:szCs w:val="20"/>
        </w:rPr>
        <w:t xml:space="preserve"> </w:t>
      </w:r>
      <m:oMath>
        <m:r>
          <m:rPr>
            <m:sty m:val="p"/>
          </m:rPr>
          <w:rPr>
            <w:rFonts w:ascii="Cambria Math" w:eastAsia="微软雅黑" w:hAnsi="Cambria Math"/>
            <w:sz w:val="20"/>
            <w:szCs w:val="20"/>
          </w:rPr>
          <m:t>β</m:t>
        </m:r>
      </m:oMath>
      <w:r>
        <w:rPr>
          <w:rFonts w:eastAsia="微软雅黑"/>
          <w:sz w:val="20"/>
          <w:szCs w:val="20"/>
        </w:rPr>
        <w:t>, layer-common SD basis selection, layer-specific FD basis selection. Detailed parameters in the evaluations are given below.</w:t>
      </w:r>
    </w:p>
    <w:tbl>
      <w:tblPr>
        <w:tblStyle w:val="TableGrid1"/>
        <w:tblW w:w="5035" w:type="dxa"/>
        <w:jc w:val="center"/>
        <w:tblLayout w:type="fixed"/>
        <w:tblLook w:val="04A0" w:firstRow="1" w:lastRow="0" w:firstColumn="1" w:lastColumn="0" w:noHBand="0" w:noVBand="1"/>
      </w:tblPr>
      <w:tblGrid>
        <w:gridCol w:w="715"/>
        <w:gridCol w:w="1080"/>
        <w:gridCol w:w="1080"/>
        <w:gridCol w:w="1080"/>
        <w:gridCol w:w="1080"/>
      </w:tblGrid>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RI</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Layer</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L</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p</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hAnsi="Times"/>
                <w:i/>
                <w:sz w:val="20"/>
                <w:lang w:val="en-GB"/>
              </w:rPr>
            </w:pPr>
            <m:oMathPara>
              <m:oMath>
                <m:r>
                  <w:rPr>
                    <w:rFonts w:ascii="Cambria Math" w:hAnsi="Cambria Math"/>
                    <w:sz w:val="20"/>
                    <w:lang w:val="en-GB"/>
                  </w:rPr>
                  <m:t>β</m:t>
                </m:r>
              </m:oMath>
            </m:oMathPara>
          </w:p>
        </w:tc>
      </w:tr>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4</w:t>
            </w: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1</w:t>
            </w:r>
            <w:r>
              <w:rPr>
                <w:rFonts w:ascii="Times" w:eastAsiaTheme="minorEastAsia" w:hAnsi="Times"/>
                <w:sz w:val="20"/>
                <w:lang w:val="en-GB"/>
              </w:rPr>
              <w:t>/4 or 1/2</w:t>
            </w: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
                <m:sSub>
                  <m:sSubPr>
                    <m:ctrlPr>
                      <w:rPr>
                        <w:rFonts w:ascii="Cambria Math" w:hAnsi="Cambria Math"/>
                        <w:sz w:val="20"/>
                        <w:lang w:val="en-GB"/>
                      </w:rPr>
                    </m:ctrlPr>
                  </m:sSubPr>
                  <m:e>
                    <m:r>
                      <m:rPr>
                        <m:sty m:val="p"/>
                      </m:rPr>
                      <w:rPr>
                        <w:rFonts w:ascii="Cambria Math" w:hAnsi="Cambria Math"/>
                        <w:sz w:val="20"/>
                        <w:lang w:val="en-GB"/>
                      </w:rPr>
                      <m:t>β</m:t>
                    </m:r>
                  </m:e>
                  <m:sub>
                    <m:r>
                      <m:rPr>
                        <m:sty m:val="p"/>
                      </m:rPr>
                      <w:rPr>
                        <w:rFonts w:ascii="Cambria Math" w:hAnsi="Cambria Math"/>
                        <w:sz w:val="20"/>
                        <w:lang w:val="en-GB"/>
                      </w:rPr>
                      <m:t>0</m:t>
                    </m:r>
                  </m:sub>
                </m:sSub>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ParaPr>
                <m:jc m:val="center"/>
              </m:oMathParaPr>
              <m:oMath>
                <m:f>
                  <m:fPr>
                    <m:ctrlPr>
                      <w:rPr>
                        <w:rFonts w:ascii="Cambria Math" w:eastAsia="微软雅黑" w:hAnsi="Cambria Math"/>
                        <w:i/>
                        <w:sz w:val="20"/>
                        <w:szCs w:val="20"/>
                        <w:lang w:val="en-GB"/>
                      </w:rPr>
                    </m:ctrlPr>
                  </m:fPr>
                  <m:num>
                    <m:r>
                      <w:rPr>
                        <w:rFonts w:ascii="Cambria Math" w:eastAsia="微软雅黑" w:hAnsi="Cambria Math"/>
                        <w:sz w:val="20"/>
                        <w:szCs w:val="20"/>
                        <w:lang w:val="en-GB"/>
                      </w:rPr>
                      <m:t>2</m:t>
                    </m:r>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β</m:t>
                        </m:r>
                      </m:e>
                      <m:sub>
                        <m:r>
                          <m:rPr>
                            <m:sty m:val="p"/>
                          </m:rPr>
                          <w:rPr>
                            <w:rFonts w:ascii="Cambria Math" w:eastAsia="微软雅黑" w:hAnsi="Cambria Math"/>
                            <w:sz w:val="20"/>
                            <w:szCs w:val="20"/>
                            <w:lang w:val="en-GB"/>
                          </w:rPr>
                          <m:t>0</m:t>
                        </m:r>
                      </m:sub>
                    </m:sSub>
                  </m:num>
                  <m:den>
                    <m:r>
                      <w:rPr>
                        <w:rFonts w:ascii="Cambria Math" w:eastAsia="微软雅黑" w:hAnsi="Cambria Math"/>
                        <w:sz w:val="20"/>
                        <w:szCs w:val="20"/>
                        <w:lang w:val="en-GB"/>
                      </w:rPr>
                      <m:t>3</m:t>
                    </m:r>
                  </m:den>
                </m:f>
              </m:oMath>
            </m:oMathPara>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4</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val="restart"/>
            <w:tcBorders>
              <w:top w:val="single" w:sz="4" w:space="0" w:color="auto"/>
              <w:left w:val="single" w:sz="4" w:space="0" w:color="auto"/>
              <w:bottom w:val="single" w:sz="4" w:space="0" w:color="auto"/>
              <w:right w:val="single" w:sz="4" w:space="0" w:color="auto"/>
            </w:tcBorders>
          </w:tcPr>
          <w:p w:rsidR="00867347" w:rsidRPr="000F3836" w:rsidRDefault="00011D44">
            <w:pPr>
              <w:spacing w:after="0" w:line="240" w:lineRule="auto"/>
              <w:jc w:val="center"/>
              <w:rPr>
                <w:rFonts w:ascii="Times" w:eastAsiaTheme="minorEastAsia" w:hAnsi="Times"/>
                <w:sz w:val="20"/>
                <w:lang w:val="en-GB" w:eastAsia="zh-CN"/>
              </w:rPr>
            </w:pPr>
            <m:oMathPara>
              <m:oMath>
                <m:f>
                  <m:fPr>
                    <m:ctrlPr>
                      <w:rPr>
                        <w:rFonts w:ascii="Cambria Math" w:eastAsia="微软雅黑" w:hAnsi="Cambria Math"/>
                        <w:i/>
                        <w:sz w:val="20"/>
                        <w:szCs w:val="20"/>
                        <w:lang w:val="en-GB"/>
                      </w:rPr>
                    </m:ctrlPr>
                  </m:fPr>
                  <m:num>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β</m:t>
                        </m:r>
                      </m:e>
                      <m:sub>
                        <m:r>
                          <m:rPr>
                            <m:sty m:val="p"/>
                          </m:rPr>
                          <w:rPr>
                            <w:rFonts w:ascii="Cambria Math" w:eastAsia="微软雅黑" w:hAnsi="Cambria Math"/>
                            <w:sz w:val="20"/>
                            <w:szCs w:val="20"/>
                            <w:lang w:val="en-GB"/>
                          </w:rPr>
                          <m:t>0</m:t>
                        </m:r>
                      </m:sub>
                    </m:sSub>
                  </m:num>
                  <m:den>
                    <m:r>
                      <w:rPr>
                        <w:rFonts w:ascii="Cambria Math" w:eastAsia="微软雅黑" w:hAnsi="Cambria Math"/>
                        <w:sz w:val="20"/>
                        <w:szCs w:val="20"/>
                        <w:lang w:val="en-GB"/>
                      </w:rPr>
                      <m:t>2</m:t>
                    </m:r>
                  </m:den>
                </m:f>
              </m:oMath>
            </m:oMathPara>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bl>
    <w:p w:rsidR="00867347" w:rsidRDefault="009414C0">
      <w:pPr>
        <w:pStyle w:val="ListParagraph2"/>
        <w:numPr>
          <w:ilvl w:val="0"/>
          <w:numId w:val="7"/>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 xml:space="preserve">lt 1 (layer-specific </w:t>
      </w:r>
      <m:oMath>
        <m:r>
          <m:rPr>
            <m:sty m:val="p"/>
          </m:rPr>
          <w:rPr>
            <w:rFonts w:ascii="Cambria Math" w:eastAsia="微软雅黑" w:hAnsi="Cambria Math"/>
            <w:sz w:val="20"/>
            <w:szCs w:val="20"/>
          </w:rPr>
          <m:t>β</m:t>
        </m:r>
      </m:oMath>
      <w:r>
        <w:rPr>
          <w:rFonts w:eastAsia="微软雅黑"/>
          <w:sz w:val="20"/>
          <w:szCs w:val="20"/>
        </w:rPr>
        <w:t>): Adjust</w:t>
      </w:r>
      <w:r>
        <w:rPr>
          <w:rFonts w:eastAsia="微软雅黑" w:hint="eastAsia"/>
          <w:sz w:val="20"/>
          <w:szCs w:val="20"/>
        </w:rPr>
        <w:t xml:space="preserve"> </w:t>
      </w:r>
      <m:oMath>
        <m:r>
          <m:rPr>
            <m:sty m:val="p"/>
          </m:rPr>
          <w:rPr>
            <w:rFonts w:ascii="Cambria Math" w:eastAsia="微软雅黑" w:hAnsi="Cambria Math"/>
            <w:sz w:val="20"/>
            <w:szCs w:val="20"/>
          </w:rPr>
          <m:t>β</m:t>
        </m:r>
      </m:oMath>
      <w:r>
        <w:rPr>
          <w:rFonts w:eastAsia="微软雅黑" w:hint="eastAsia"/>
          <w:sz w:val="20"/>
          <w:szCs w:val="20"/>
        </w:rPr>
        <w:t xml:space="preserve"> </w:t>
      </w:r>
      <w:r>
        <w:rPr>
          <w:rFonts w:eastAsia="微软雅黑"/>
          <w:sz w:val="20"/>
          <w:szCs w:val="20"/>
        </w:rPr>
        <w:t>+ Layer-specific</w:t>
      </w:r>
      <w:r>
        <w:rPr>
          <w:rFonts w:eastAsia="微软雅黑" w:hint="eastAsia"/>
          <w:sz w:val="20"/>
          <w:szCs w:val="20"/>
        </w:rPr>
        <w:t xml:space="preserve"> </w:t>
      </w:r>
      <m:oMath>
        <m:r>
          <m:rPr>
            <m:sty m:val="p"/>
          </m:rPr>
          <w:rPr>
            <w:rFonts w:ascii="Cambria Math" w:eastAsia="微软雅黑" w:hAnsi="Cambria Math"/>
            <w:sz w:val="20"/>
            <w:szCs w:val="20"/>
          </w:rPr>
          <m:t>β</m:t>
        </m:r>
      </m:oMath>
      <w:r>
        <w:rPr>
          <w:rFonts w:eastAsia="微软雅黑"/>
          <w:sz w:val="20"/>
          <w:szCs w:val="20"/>
        </w:rPr>
        <w:t>, layer-common SD basis selection, layer-specific FD basis selection. Detailed parameters in the evaluations are given below.</w:t>
      </w:r>
    </w:p>
    <w:tbl>
      <w:tblPr>
        <w:tblStyle w:val="TableGrid1"/>
        <w:tblW w:w="5035" w:type="dxa"/>
        <w:jc w:val="center"/>
        <w:tblLayout w:type="fixed"/>
        <w:tblLook w:val="04A0" w:firstRow="1" w:lastRow="0" w:firstColumn="1" w:lastColumn="0" w:noHBand="0" w:noVBand="1"/>
      </w:tblPr>
      <w:tblGrid>
        <w:gridCol w:w="715"/>
        <w:gridCol w:w="1080"/>
        <w:gridCol w:w="1080"/>
        <w:gridCol w:w="1080"/>
        <w:gridCol w:w="1080"/>
      </w:tblGrid>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RI</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Layer</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L</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p</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hAnsi="Times"/>
                <w:i/>
                <w:sz w:val="20"/>
                <w:lang w:val="en-GB"/>
              </w:rPr>
            </w:pPr>
            <m:oMathPara>
              <m:oMath>
                <m:r>
                  <w:rPr>
                    <w:rFonts w:ascii="Cambria Math" w:hAnsi="Cambria Math"/>
                    <w:sz w:val="20"/>
                    <w:lang w:val="en-GB"/>
                  </w:rPr>
                  <m:t>β</m:t>
                </m:r>
              </m:oMath>
            </m:oMathPara>
          </w:p>
        </w:tc>
      </w:tr>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4</w:t>
            </w: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1</w:t>
            </w:r>
            <w:r>
              <w:rPr>
                <w:rFonts w:ascii="Times" w:eastAsiaTheme="minorEastAsia" w:hAnsi="Times"/>
                <w:sz w:val="20"/>
                <w:lang w:val="en-GB"/>
              </w:rPr>
              <w:t>/4 or 1/2</w:t>
            </w: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
                <m:sSub>
                  <m:sSubPr>
                    <m:ctrlPr>
                      <w:rPr>
                        <w:rFonts w:ascii="Cambria Math" w:hAnsi="Cambria Math"/>
                        <w:sz w:val="20"/>
                        <w:lang w:val="en-GB"/>
                      </w:rPr>
                    </m:ctrlPr>
                  </m:sSubPr>
                  <m:e>
                    <m:r>
                      <m:rPr>
                        <m:sty m:val="p"/>
                      </m:rPr>
                      <w:rPr>
                        <w:rFonts w:ascii="Cambria Math" w:hAnsi="Cambria Math"/>
                        <w:sz w:val="20"/>
                        <w:lang w:val="en-GB"/>
                      </w:rPr>
                      <m:t>β</m:t>
                    </m:r>
                  </m:e>
                  <m:sub>
                    <m:r>
                      <m:rPr>
                        <m:sty m:val="p"/>
                      </m:rPr>
                      <w:rPr>
                        <w:rFonts w:ascii="Cambria Math" w:hAnsi="Cambria Math"/>
                        <w:sz w:val="20"/>
                        <w:lang w:val="en-GB"/>
                      </w:rPr>
                      <m:t>0</m:t>
                    </m:r>
                  </m:sub>
                </m:sSub>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ParaPr>
                <m:jc m:val="center"/>
              </m:oMathParaP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β</m:t>
                    </m:r>
                  </m:e>
                  <m:sub>
                    <m:r>
                      <m:rPr>
                        <m:sty m:val="p"/>
                      </m:rPr>
                      <w:rPr>
                        <w:rFonts w:ascii="Cambria Math" w:eastAsia="微软雅黑" w:hAnsi="Cambria Math"/>
                        <w:sz w:val="20"/>
                        <w:szCs w:val="20"/>
                        <w:lang w:val="en-GB"/>
                      </w:rPr>
                      <m:t>0</m:t>
                    </m:r>
                  </m:sub>
                </m:sSub>
              </m:oMath>
            </m:oMathPara>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left w:val="single" w:sz="4" w:space="0" w:color="auto"/>
              <w:right w:val="single" w:sz="4" w:space="0" w:color="auto"/>
            </w:tcBorders>
            <w:vAlign w:val="center"/>
          </w:tcPr>
          <w:p w:rsidR="00867347" w:rsidRDefault="00011D44">
            <w:pPr>
              <w:spacing w:after="0" w:line="240" w:lineRule="auto"/>
              <w:jc w:val="center"/>
              <w:rPr>
                <w:rFonts w:ascii="Times" w:hAnsi="Times"/>
                <w:sz w:val="20"/>
                <w:lang w:val="en-GB"/>
              </w:rPr>
            </w:pPr>
            <m:oMathPara>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β</m:t>
                    </m:r>
                  </m:e>
                  <m:sub>
                    <m:r>
                      <m:rPr>
                        <m:sty m:val="p"/>
                      </m:rPr>
                      <w:rPr>
                        <w:rFonts w:ascii="Cambria Math" w:eastAsia="微软雅黑" w:hAnsi="Cambria Math"/>
                        <w:sz w:val="20"/>
                        <w:szCs w:val="20"/>
                        <w:lang w:val="en-GB"/>
                      </w:rPr>
                      <m:t>0</m:t>
                    </m:r>
                  </m:sub>
                </m:sSub>
                <m:r>
                  <w:rPr>
                    <w:rFonts w:ascii="Cambria Math" w:eastAsia="微软雅黑" w:hAnsi="Cambria Math"/>
                    <w:sz w:val="20"/>
                    <w:szCs w:val="20"/>
                    <w:lang w:val="en-GB"/>
                  </w:rPr>
                  <m:t>/2</m:t>
                </m:r>
              </m:oMath>
            </m:oMathPara>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left w:val="single" w:sz="4" w:space="0" w:color="auto"/>
              <w:bottom w:val="single" w:sz="4" w:space="0" w:color="auto"/>
              <w:right w:val="single" w:sz="4" w:space="0" w:color="auto"/>
            </w:tcBorders>
            <w:vAlign w:val="center"/>
          </w:tcPr>
          <w:p w:rsidR="00867347" w:rsidRDefault="00011D44">
            <w:pPr>
              <w:spacing w:after="0" w:line="240" w:lineRule="auto"/>
              <w:jc w:val="center"/>
              <w:rPr>
                <w:rFonts w:ascii="Times" w:hAnsi="Times"/>
                <w:sz w:val="20"/>
                <w:lang w:val="en-GB"/>
              </w:rPr>
            </w:pPr>
            <m:oMathPara>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β</m:t>
                    </m:r>
                  </m:e>
                  <m:sub>
                    <m:r>
                      <m:rPr>
                        <m:sty m:val="p"/>
                      </m:rPr>
                      <w:rPr>
                        <w:rFonts w:ascii="Cambria Math" w:eastAsia="微软雅黑" w:hAnsi="Cambria Math"/>
                        <w:sz w:val="20"/>
                        <w:szCs w:val="20"/>
                        <w:lang w:val="en-GB"/>
                      </w:rPr>
                      <m:t>0</m:t>
                    </m:r>
                  </m:sub>
                </m:sSub>
                <m:r>
                  <w:rPr>
                    <w:rFonts w:ascii="Cambria Math" w:eastAsia="微软雅黑" w:hAnsi="Cambria Math"/>
                    <w:sz w:val="20"/>
                    <w:szCs w:val="20"/>
                    <w:lang w:val="en-GB"/>
                  </w:rPr>
                  <m:t>/2</m:t>
                </m:r>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4</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011D44">
            <w:pPr>
              <w:spacing w:after="0" w:line="240" w:lineRule="auto"/>
              <w:jc w:val="center"/>
              <w:rPr>
                <w:rFonts w:ascii="Times" w:eastAsia="Batang" w:hAnsi="Times"/>
                <w:sz w:val="20"/>
                <w:lang w:val="en-GB"/>
              </w:rPr>
            </w:pPr>
            <m:oMathPara>
              <m:oMathParaPr>
                <m:jc m:val="center"/>
              </m:oMathParaP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β</m:t>
                    </m:r>
                  </m:e>
                  <m:sub>
                    <m:r>
                      <m:rPr>
                        <m:sty m:val="p"/>
                      </m:rPr>
                      <w:rPr>
                        <w:rFonts w:ascii="Cambria Math" w:eastAsia="微软雅黑" w:hAnsi="Cambria Math"/>
                        <w:sz w:val="20"/>
                        <w:szCs w:val="20"/>
                        <w:lang w:val="en-GB"/>
                      </w:rPr>
                      <m:t>0</m:t>
                    </m:r>
                  </m:sub>
                </m:sSub>
                <m:r>
                  <w:rPr>
                    <w:rFonts w:ascii="Cambria Math" w:eastAsia="微软雅黑" w:hAnsi="Cambria Math"/>
                    <w:sz w:val="20"/>
                    <w:szCs w:val="20"/>
                    <w:lang w:val="en-GB"/>
                  </w:rPr>
                  <m:t>/2</m:t>
                </m:r>
              </m:oMath>
            </m:oMathPara>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β</m:t>
                    </m:r>
                  </m:e>
                  <m:sub>
                    <m:r>
                      <m:rPr>
                        <m:sty m:val="p"/>
                      </m:rPr>
                      <w:rPr>
                        <w:rFonts w:ascii="Cambria Math" w:eastAsia="微软雅黑" w:hAnsi="Cambria Math"/>
                        <w:sz w:val="20"/>
                        <w:szCs w:val="20"/>
                        <w:lang w:val="en-GB"/>
                      </w:rPr>
                      <m:t>0</m:t>
                    </m:r>
                  </m:sub>
                </m:sSub>
                <m:r>
                  <w:rPr>
                    <w:rFonts w:ascii="Cambria Math" w:eastAsia="微软雅黑" w:hAnsi="Cambria Math"/>
                    <w:sz w:val="20"/>
                    <w:szCs w:val="20"/>
                    <w:lang w:val="en-GB"/>
                  </w:rPr>
                  <m:t>/2</m:t>
                </m:r>
              </m:oMath>
            </m:oMathPara>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β</m:t>
                    </m:r>
                  </m:e>
                  <m:sub>
                    <m:r>
                      <m:rPr>
                        <m:sty m:val="p"/>
                      </m:rPr>
                      <w:rPr>
                        <w:rFonts w:ascii="Cambria Math" w:eastAsia="微软雅黑" w:hAnsi="Cambria Math"/>
                        <w:sz w:val="20"/>
                        <w:szCs w:val="20"/>
                        <w:lang w:val="en-GB"/>
                      </w:rPr>
                      <m:t>0</m:t>
                    </m:r>
                  </m:sub>
                </m:sSub>
                <m:r>
                  <w:rPr>
                    <w:rFonts w:ascii="Cambria Math" w:eastAsia="微软雅黑" w:hAnsi="Cambria Math"/>
                    <w:sz w:val="20"/>
                    <w:szCs w:val="20"/>
                    <w:lang w:val="en-GB"/>
                  </w:rPr>
                  <m:t>/2</m:t>
                </m:r>
              </m:oMath>
            </m:oMathPara>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β</m:t>
                    </m:r>
                  </m:e>
                  <m:sub>
                    <m:r>
                      <m:rPr>
                        <m:sty m:val="p"/>
                      </m:rPr>
                      <w:rPr>
                        <w:rFonts w:ascii="Cambria Math" w:eastAsia="微软雅黑" w:hAnsi="Cambria Math"/>
                        <w:sz w:val="20"/>
                        <w:szCs w:val="20"/>
                        <w:lang w:val="en-GB"/>
                      </w:rPr>
                      <m:t>0</m:t>
                    </m:r>
                  </m:sub>
                </m:sSub>
                <m:r>
                  <w:rPr>
                    <w:rFonts w:ascii="Cambria Math" w:eastAsia="微软雅黑" w:hAnsi="Cambria Math"/>
                    <w:sz w:val="20"/>
                    <w:szCs w:val="20"/>
                    <w:lang w:val="en-GB"/>
                  </w:rPr>
                  <m:t>/2</m:t>
                </m:r>
              </m:oMath>
            </m:oMathPara>
          </w:p>
        </w:tc>
      </w:tr>
    </w:tbl>
    <w:p w:rsidR="00867347" w:rsidRDefault="009414C0">
      <w:pPr>
        <w:pStyle w:val="ListParagraph2"/>
        <w:numPr>
          <w:ilvl w:val="0"/>
          <w:numId w:val="7"/>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Alt</w:t>
      </w:r>
      <w:r>
        <w:rPr>
          <w:rFonts w:eastAsia="微软雅黑"/>
          <w:sz w:val="20"/>
          <w:szCs w:val="20"/>
        </w:rPr>
        <w:t xml:space="preserve"> 2B: Adjust p + Layer-specific and RI-common p, layer-common SD basis selection, layer-specific FD basis selection. Detailed parameters in the evaluations are given below.</w:t>
      </w:r>
    </w:p>
    <w:tbl>
      <w:tblPr>
        <w:tblStyle w:val="TableGrid1"/>
        <w:tblW w:w="5035" w:type="dxa"/>
        <w:jc w:val="center"/>
        <w:tblLayout w:type="fixed"/>
        <w:tblLook w:val="04A0" w:firstRow="1" w:lastRow="0" w:firstColumn="1" w:lastColumn="0" w:noHBand="0" w:noVBand="1"/>
      </w:tblPr>
      <w:tblGrid>
        <w:gridCol w:w="715"/>
        <w:gridCol w:w="1080"/>
        <w:gridCol w:w="1080"/>
        <w:gridCol w:w="1080"/>
        <w:gridCol w:w="1080"/>
      </w:tblGrid>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RI</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Layer</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L</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p</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hAnsi="Times"/>
                <w:i/>
                <w:sz w:val="20"/>
                <w:lang w:val="en-GB"/>
              </w:rPr>
            </w:pPr>
            <m:oMathPara>
              <m:oMath>
                <m:r>
                  <w:rPr>
                    <w:rFonts w:ascii="Cambria Math" w:hAnsi="Cambria Math"/>
                    <w:sz w:val="20"/>
                    <w:lang w:val="en-GB"/>
                  </w:rPr>
                  <m:t>β</m:t>
                </m:r>
              </m:oMath>
            </m:oMathPara>
          </w:p>
        </w:tc>
      </w:tr>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4</w:t>
            </w:r>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eastAsiaTheme="minorEastAsia"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oMath>
            </m:oMathPara>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
                <m:sSub>
                  <m:sSubPr>
                    <m:ctrlPr>
                      <w:rPr>
                        <w:rFonts w:ascii="Cambria Math" w:hAnsi="Cambria Math"/>
                        <w:sz w:val="20"/>
                        <w:lang w:val="en-GB"/>
                      </w:rPr>
                    </m:ctrlPr>
                  </m:sSubPr>
                  <m:e>
                    <m:r>
                      <m:rPr>
                        <m:sty m:val="p"/>
                      </m:rPr>
                      <w:rPr>
                        <w:rFonts w:ascii="Cambria Math" w:hAnsi="Cambria Math"/>
                        <w:sz w:val="20"/>
                        <w:lang w:val="en-GB"/>
                      </w:rPr>
                      <m:t>β</m:t>
                    </m:r>
                  </m:e>
                  <m:sub>
                    <m:r>
                      <m:rPr>
                        <m:sty m:val="p"/>
                      </m:rPr>
                      <w:rPr>
                        <w:rFonts w:ascii="Cambria Math" w:hAnsi="Cambria Math"/>
                        <w:sz w:val="20"/>
                        <w:lang w:val="en-GB"/>
                      </w:rPr>
                      <m:t>0</m:t>
                    </m:r>
                  </m:sub>
                </m:sSub>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val="restart"/>
            <w:tcBorders>
              <w:top w:val="single" w:sz="4" w:space="0" w:color="auto"/>
              <w:left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oMath>
            </m:oMathPara>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r>
                  <w:rPr>
                    <w:rFonts w:ascii="Cambria Math" w:eastAsiaTheme="minorEastAsia" w:hAnsi="Cambria Math"/>
                    <w:sz w:val="20"/>
                    <w:lang w:val="en-GB"/>
                  </w:rPr>
                  <m:t>/2</m:t>
                </m:r>
              </m:oMath>
            </m:oMathPara>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4</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val="restart"/>
            <w:tcBorders>
              <w:top w:val="single" w:sz="4" w:space="0" w:color="auto"/>
              <w:left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oMath>
            </m:oMathPara>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val="restart"/>
            <w:tcBorders>
              <w:top w:val="single" w:sz="4" w:space="0" w:color="auto"/>
              <w:left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r>
                  <w:rPr>
                    <w:rFonts w:ascii="Cambria Math" w:eastAsiaTheme="minorEastAsia" w:hAnsi="Cambria Math"/>
                    <w:sz w:val="20"/>
                    <w:lang w:val="en-GB"/>
                  </w:rPr>
                  <m:t>/2</m:t>
                </m:r>
              </m:oMath>
            </m:oMathPara>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bl>
    <w:p w:rsidR="00867347" w:rsidRDefault="009414C0">
      <w:pPr>
        <w:pStyle w:val="ListParagraph2"/>
        <w:numPr>
          <w:ilvl w:val="0"/>
          <w:numId w:val="7"/>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3B: Adjust L + Layer-common L, layer-specific SD basis selection, layer-specific FD basis selection. Detailed parameters in the evaluations are given below.</w:t>
      </w:r>
    </w:p>
    <w:tbl>
      <w:tblPr>
        <w:tblStyle w:val="TableGrid1"/>
        <w:tblW w:w="5035" w:type="dxa"/>
        <w:jc w:val="center"/>
        <w:tblLayout w:type="fixed"/>
        <w:tblLook w:val="04A0" w:firstRow="1" w:lastRow="0" w:firstColumn="1" w:lastColumn="0" w:noHBand="0" w:noVBand="1"/>
      </w:tblPr>
      <w:tblGrid>
        <w:gridCol w:w="715"/>
        <w:gridCol w:w="1080"/>
        <w:gridCol w:w="1080"/>
        <w:gridCol w:w="1080"/>
        <w:gridCol w:w="1080"/>
      </w:tblGrid>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RI</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Layer</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L</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p</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hAnsi="Times"/>
                <w:i/>
                <w:sz w:val="20"/>
                <w:lang w:val="en-GB"/>
              </w:rPr>
            </w:pPr>
            <m:oMathPara>
              <m:oMath>
                <m:r>
                  <w:rPr>
                    <w:rFonts w:ascii="Cambria Math" w:hAnsi="Cambria Math"/>
                    <w:sz w:val="20"/>
                    <w:lang w:val="en-GB"/>
                  </w:rPr>
                  <m:t>β</m:t>
                </m:r>
              </m:oMath>
            </m:oMathPara>
          </w:p>
        </w:tc>
      </w:tr>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4</w:t>
            </w:r>
          </w:p>
        </w:tc>
        <w:tc>
          <w:tcPr>
            <w:tcW w:w="1080" w:type="dxa"/>
            <w:vMerge w:val="restart"/>
            <w:tcBorders>
              <w:top w:val="single" w:sz="4" w:space="0" w:color="auto"/>
              <w:left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1</w:t>
            </w:r>
            <w:r>
              <w:rPr>
                <w:rFonts w:ascii="Times" w:eastAsiaTheme="minorEastAsia" w:hAnsi="Times"/>
                <w:sz w:val="20"/>
                <w:lang w:val="en-GB"/>
              </w:rPr>
              <w:t>/4 or 1/2</w:t>
            </w:r>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
                <m:sSub>
                  <m:sSubPr>
                    <m:ctrlPr>
                      <w:rPr>
                        <w:rFonts w:ascii="Cambria Math" w:hAnsi="Cambria Math"/>
                        <w:sz w:val="20"/>
                        <w:lang w:val="en-GB"/>
                      </w:rPr>
                    </m:ctrlPr>
                  </m:sSubPr>
                  <m:e>
                    <m:r>
                      <m:rPr>
                        <m:sty m:val="p"/>
                      </m:rPr>
                      <w:rPr>
                        <w:rFonts w:ascii="Cambria Math" w:hAnsi="Cambria Math"/>
                        <w:sz w:val="20"/>
                        <w:lang w:val="en-GB"/>
                      </w:rPr>
                      <m:t>β</m:t>
                    </m:r>
                  </m:e>
                  <m:sub>
                    <m:r>
                      <m:rPr>
                        <m:sty m:val="p"/>
                      </m:rPr>
                      <w:rPr>
                        <w:rFonts w:ascii="Cambria Math" w:hAnsi="Cambria Math"/>
                        <w:sz w:val="20"/>
                        <w:lang w:val="en-GB"/>
                      </w:rPr>
                      <m:t>0</m:t>
                    </m:r>
                  </m:sub>
                </m:sSub>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4</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bl>
    <w:p w:rsidR="00867347" w:rsidRDefault="009414C0">
      <w:pPr>
        <w:pStyle w:val="ListParagraph2"/>
        <w:numPr>
          <w:ilvl w:val="0"/>
          <w:numId w:val="7"/>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4A: Adjust L + Layer-specific and RI-common L, layer-specific SD basis selection, layer-specific FD basis selection. Detailed parameters in the evaluations are given below.</w:t>
      </w:r>
    </w:p>
    <w:tbl>
      <w:tblPr>
        <w:tblStyle w:val="TableGrid1"/>
        <w:tblW w:w="5035" w:type="dxa"/>
        <w:jc w:val="center"/>
        <w:tblLayout w:type="fixed"/>
        <w:tblLook w:val="04A0" w:firstRow="1" w:lastRow="0" w:firstColumn="1" w:lastColumn="0" w:noHBand="0" w:noVBand="1"/>
      </w:tblPr>
      <w:tblGrid>
        <w:gridCol w:w="715"/>
        <w:gridCol w:w="1080"/>
        <w:gridCol w:w="1080"/>
        <w:gridCol w:w="1080"/>
        <w:gridCol w:w="1080"/>
      </w:tblGrid>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RI</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Layer</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L</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p</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hAnsi="Times"/>
                <w:i/>
                <w:sz w:val="20"/>
                <w:lang w:val="en-GB"/>
              </w:rPr>
            </w:pPr>
            <m:oMathPara>
              <m:oMath>
                <m:r>
                  <w:rPr>
                    <w:rFonts w:ascii="Cambria Math" w:hAnsi="Cambria Math"/>
                    <w:sz w:val="20"/>
                    <w:lang w:val="en-GB"/>
                  </w:rPr>
                  <m:t>β</m:t>
                </m:r>
              </m:oMath>
            </m:oMathPara>
          </w:p>
        </w:tc>
      </w:tr>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4</w:t>
            </w:r>
          </w:p>
        </w:tc>
        <w:tc>
          <w:tcPr>
            <w:tcW w:w="1080" w:type="dxa"/>
            <w:vMerge w:val="restart"/>
            <w:tcBorders>
              <w:top w:val="single" w:sz="4" w:space="0" w:color="auto"/>
              <w:left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1</w:t>
            </w:r>
            <w:r>
              <w:rPr>
                <w:rFonts w:ascii="Times" w:eastAsiaTheme="minorEastAsia" w:hAnsi="Times"/>
                <w:sz w:val="20"/>
                <w:lang w:val="en-GB"/>
              </w:rPr>
              <w:t>/4 or 1/2</w:t>
            </w:r>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
                <m:sSub>
                  <m:sSubPr>
                    <m:ctrlPr>
                      <w:rPr>
                        <w:rFonts w:ascii="Cambria Math" w:hAnsi="Cambria Math"/>
                        <w:sz w:val="20"/>
                        <w:lang w:val="en-GB"/>
                      </w:rPr>
                    </m:ctrlPr>
                  </m:sSubPr>
                  <m:e>
                    <m:r>
                      <m:rPr>
                        <m:sty m:val="p"/>
                      </m:rPr>
                      <w:rPr>
                        <w:rFonts w:ascii="Cambria Math" w:hAnsi="Cambria Math"/>
                        <w:sz w:val="20"/>
                        <w:lang w:val="en-GB"/>
                      </w:rPr>
                      <m:t>β</m:t>
                    </m:r>
                  </m:e>
                  <m:sub>
                    <m:r>
                      <m:rPr>
                        <m:sty m:val="p"/>
                      </m:rPr>
                      <w:rPr>
                        <w:rFonts w:ascii="Cambria Math" w:hAnsi="Cambria Math"/>
                        <w:sz w:val="20"/>
                        <w:lang w:val="en-GB"/>
                      </w:rPr>
                      <m:t>0</m:t>
                    </m:r>
                  </m:sub>
                </m:sSub>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sz w:val="20"/>
                <w:lang w:val="en-GB"/>
              </w:rPr>
              <w:t>3</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left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4</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left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3</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left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left w:val="single" w:sz="4" w:space="0" w:color="auto"/>
              <w:bottom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1</w:t>
            </w: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bl>
    <w:p w:rsidR="00867347" w:rsidRDefault="009414C0">
      <w:pPr>
        <w:pStyle w:val="ListParagraph2"/>
        <w:numPr>
          <w:ilvl w:val="0"/>
          <w:numId w:val="7"/>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4C: Adjust L + Layer-specific and RI-common L, layer-specific SD basis selection, layer-specific FD basis selection. Detailed parameters in the evaluations are given below.</w:t>
      </w:r>
    </w:p>
    <w:tbl>
      <w:tblPr>
        <w:tblStyle w:val="TableGrid1"/>
        <w:tblW w:w="5035" w:type="dxa"/>
        <w:jc w:val="center"/>
        <w:tblLayout w:type="fixed"/>
        <w:tblLook w:val="04A0" w:firstRow="1" w:lastRow="0" w:firstColumn="1" w:lastColumn="0" w:noHBand="0" w:noVBand="1"/>
      </w:tblPr>
      <w:tblGrid>
        <w:gridCol w:w="715"/>
        <w:gridCol w:w="1080"/>
        <w:gridCol w:w="1080"/>
        <w:gridCol w:w="1080"/>
        <w:gridCol w:w="1080"/>
      </w:tblGrid>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RI</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Layer</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L</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p</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hAnsi="Times"/>
                <w:i/>
                <w:sz w:val="20"/>
                <w:lang w:val="en-GB"/>
              </w:rPr>
            </w:pPr>
            <m:oMathPara>
              <m:oMath>
                <m:r>
                  <w:rPr>
                    <w:rFonts w:ascii="Cambria Math" w:hAnsi="Cambria Math"/>
                    <w:sz w:val="20"/>
                    <w:lang w:val="en-GB"/>
                  </w:rPr>
                  <m:t>β</m:t>
                </m:r>
              </m:oMath>
            </m:oMathPara>
          </w:p>
        </w:tc>
      </w:tr>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4</w:t>
            </w:r>
          </w:p>
        </w:tc>
        <w:tc>
          <w:tcPr>
            <w:tcW w:w="1080" w:type="dxa"/>
            <w:vMerge w:val="restart"/>
            <w:tcBorders>
              <w:top w:val="single" w:sz="4" w:space="0" w:color="auto"/>
              <w:left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1</w:t>
            </w:r>
            <w:r>
              <w:rPr>
                <w:rFonts w:ascii="Times" w:eastAsiaTheme="minorEastAsia" w:hAnsi="Times"/>
                <w:sz w:val="20"/>
                <w:lang w:val="en-GB"/>
              </w:rPr>
              <w:t>/4 or 1/2</w:t>
            </w:r>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
                <m:sSub>
                  <m:sSubPr>
                    <m:ctrlPr>
                      <w:rPr>
                        <w:rFonts w:ascii="Cambria Math" w:hAnsi="Cambria Math"/>
                        <w:sz w:val="20"/>
                        <w:lang w:val="en-GB"/>
                      </w:rPr>
                    </m:ctrlPr>
                  </m:sSubPr>
                  <m:e>
                    <m:r>
                      <m:rPr>
                        <m:sty m:val="p"/>
                      </m:rPr>
                      <w:rPr>
                        <w:rFonts w:ascii="Cambria Math" w:hAnsi="Cambria Math"/>
                        <w:sz w:val="20"/>
                        <w:lang w:val="en-GB"/>
                      </w:rPr>
                      <m:t>β</m:t>
                    </m:r>
                  </m:e>
                  <m:sub>
                    <m:r>
                      <m:rPr>
                        <m:sty m:val="p"/>
                      </m:rPr>
                      <w:rPr>
                        <w:rFonts w:ascii="Cambria Math" w:hAnsi="Cambria Math"/>
                        <w:sz w:val="20"/>
                        <w:lang w:val="en-GB"/>
                      </w:rPr>
                      <m:t>0</m:t>
                    </m:r>
                  </m:sub>
                </m:sSub>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sz w:val="20"/>
                <w:lang w:val="en-GB"/>
              </w:rPr>
              <w:t>3</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left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4</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left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3</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val="restart"/>
            <w:tcBorders>
              <w:left w:val="single" w:sz="4" w:space="0" w:color="auto"/>
              <w:right w:val="single" w:sz="4" w:space="0" w:color="auto"/>
            </w:tcBorders>
            <w:vAlign w:val="center"/>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Theme="minorEastAsia"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bl>
    <w:p w:rsidR="00867347" w:rsidRDefault="009414C0">
      <w:pPr>
        <w:pStyle w:val="ListParagraph2"/>
        <w:numPr>
          <w:ilvl w:val="0"/>
          <w:numId w:val="7"/>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5C: Adjust p + Layer-common p, Layer-common SD basis selection, layer-specific FD basis selection. Detailed parameters in the evaluations are given below.</w:t>
      </w:r>
    </w:p>
    <w:tbl>
      <w:tblPr>
        <w:tblStyle w:val="TableGrid1"/>
        <w:tblW w:w="5035" w:type="dxa"/>
        <w:jc w:val="center"/>
        <w:tblLayout w:type="fixed"/>
        <w:tblLook w:val="04A0" w:firstRow="1" w:lastRow="0" w:firstColumn="1" w:lastColumn="0" w:noHBand="0" w:noVBand="1"/>
      </w:tblPr>
      <w:tblGrid>
        <w:gridCol w:w="715"/>
        <w:gridCol w:w="1080"/>
        <w:gridCol w:w="1080"/>
        <w:gridCol w:w="1080"/>
        <w:gridCol w:w="1080"/>
      </w:tblGrid>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RI</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Layer</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L</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p</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hAnsi="Times"/>
                <w:i/>
                <w:sz w:val="20"/>
                <w:lang w:val="en-GB"/>
              </w:rPr>
            </w:pPr>
            <m:oMathPara>
              <m:oMath>
                <m:r>
                  <w:rPr>
                    <w:rFonts w:ascii="Cambria Math" w:hAnsi="Cambria Math"/>
                    <w:sz w:val="20"/>
                    <w:lang w:val="en-GB"/>
                  </w:rPr>
                  <m:t>β</m:t>
                </m:r>
              </m:oMath>
            </m:oMathPara>
          </w:p>
        </w:tc>
      </w:tr>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4</w:t>
            </w:r>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eastAsiaTheme="minorEastAsia"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oMath>
            </m:oMathPara>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
                <m:sSub>
                  <m:sSubPr>
                    <m:ctrlPr>
                      <w:rPr>
                        <w:rFonts w:ascii="Cambria Math" w:hAnsi="Cambria Math"/>
                        <w:sz w:val="20"/>
                        <w:lang w:val="en-GB"/>
                      </w:rPr>
                    </m:ctrlPr>
                  </m:sSubPr>
                  <m:e>
                    <m:r>
                      <m:rPr>
                        <m:sty m:val="p"/>
                      </m:rPr>
                      <w:rPr>
                        <w:rFonts w:ascii="Cambria Math" w:hAnsi="Cambria Math"/>
                        <w:sz w:val="20"/>
                        <w:lang w:val="en-GB"/>
                      </w:rPr>
                      <m:t>β</m:t>
                    </m:r>
                  </m:e>
                  <m:sub>
                    <m:r>
                      <m:rPr>
                        <m:sty m:val="p"/>
                      </m:rPr>
                      <w:rPr>
                        <w:rFonts w:ascii="Cambria Math" w:hAnsi="Cambria Math"/>
                        <w:sz w:val="20"/>
                        <w:lang w:val="en-GB"/>
                      </w:rPr>
                      <m:t>0</m:t>
                    </m:r>
                  </m:sub>
                </m:sSub>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val="restart"/>
            <w:tcBorders>
              <w:top w:val="single" w:sz="4" w:space="0" w:color="auto"/>
              <w:left w:val="single" w:sz="4" w:space="0" w:color="auto"/>
              <w:right w:val="single" w:sz="4" w:space="0" w:color="auto"/>
            </w:tcBorders>
            <w:vAlign w:val="center"/>
          </w:tcPr>
          <w:p w:rsidR="00867347" w:rsidRDefault="009414C0">
            <w:pPr>
              <w:spacing w:after="0" w:line="240" w:lineRule="auto"/>
              <w:jc w:val="center"/>
              <w:rPr>
                <w:rFonts w:ascii="Times" w:eastAsia="Batang" w:hAnsi="Times"/>
                <w:sz w:val="20"/>
                <w:lang w:val="en-GB"/>
              </w:rPr>
            </w:pPr>
            <m:oMathPara>
              <m:oMath>
                <m:r>
                  <w:rPr>
                    <w:rFonts w:ascii="Cambria Math" w:eastAsiaTheme="minorEastAsia" w:hAnsi="Cambria Math"/>
                    <w:sz w:val="20"/>
                    <w:lang w:val="en-GB"/>
                  </w:rPr>
                  <m:t>2</m:t>
                </m:r>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r>
                  <w:rPr>
                    <w:rFonts w:ascii="Cambria Math" w:eastAsiaTheme="minorEastAsia" w:hAnsi="Cambria Math"/>
                    <w:sz w:val="20"/>
                    <w:lang w:val="en-GB"/>
                  </w:rPr>
                  <m:t>/3</m:t>
                </m:r>
              </m:oMath>
            </m:oMathPara>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4</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val="restart"/>
            <w:tcBorders>
              <w:top w:val="single" w:sz="4" w:space="0" w:color="auto"/>
              <w:left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r>
                  <w:rPr>
                    <w:rFonts w:ascii="Cambria Math" w:eastAsiaTheme="minorEastAsia" w:hAnsi="Cambria Math"/>
                    <w:sz w:val="20"/>
                    <w:lang w:val="en-GB"/>
                  </w:rPr>
                  <m:t>/2</m:t>
                </m:r>
              </m:oMath>
            </m:oMathPara>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bl>
    <w:p w:rsidR="00867347" w:rsidRDefault="009414C0">
      <w:pPr>
        <w:pStyle w:val="ListParagraph2"/>
        <w:numPr>
          <w:ilvl w:val="0"/>
          <w:numId w:val="7"/>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6C: Adjust L + Layer-specific L, Layer-specific SD basis selection, layer-specific FD basis selection. Detailed parameters in the evaluations are given below.</w:t>
      </w:r>
    </w:p>
    <w:tbl>
      <w:tblPr>
        <w:tblStyle w:val="TableGrid1"/>
        <w:tblW w:w="5035" w:type="dxa"/>
        <w:jc w:val="center"/>
        <w:tblLayout w:type="fixed"/>
        <w:tblLook w:val="04A0" w:firstRow="1" w:lastRow="0" w:firstColumn="1" w:lastColumn="0" w:noHBand="0" w:noVBand="1"/>
      </w:tblPr>
      <w:tblGrid>
        <w:gridCol w:w="715"/>
        <w:gridCol w:w="1080"/>
        <w:gridCol w:w="1080"/>
        <w:gridCol w:w="1080"/>
        <w:gridCol w:w="1080"/>
      </w:tblGrid>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RI</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Layer</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L</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p</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hAnsi="Times"/>
                <w:i/>
                <w:sz w:val="20"/>
                <w:lang w:val="en-GB"/>
              </w:rPr>
            </w:pPr>
            <m:oMathPara>
              <m:oMath>
                <m:r>
                  <w:rPr>
                    <w:rFonts w:ascii="Cambria Math" w:hAnsi="Cambria Math"/>
                    <w:sz w:val="20"/>
                    <w:lang w:val="en-GB"/>
                  </w:rPr>
                  <m:t>β</m:t>
                </m:r>
              </m:oMath>
            </m:oMathPara>
          </w:p>
        </w:tc>
      </w:tr>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4</w:t>
            </w:r>
          </w:p>
        </w:tc>
        <w:tc>
          <w:tcPr>
            <w:tcW w:w="1080" w:type="dxa"/>
            <w:vMerge w:val="restart"/>
            <w:tcBorders>
              <w:top w:val="single" w:sz="4" w:space="0" w:color="auto"/>
              <w:left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1</w:t>
            </w:r>
            <w:r>
              <w:rPr>
                <w:rFonts w:ascii="Times" w:eastAsiaTheme="minorEastAsia" w:hAnsi="Times"/>
                <w:sz w:val="20"/>
                <w:lang w:val="en-GB"/>
              </w:rPr>
              <w:t>/4 or 1/2</w:t>
            </w:r>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
                <m:sSub>
                  <m:sSubPr>
                    <m:ctrlPr>
                      <w:rPr>
                        <w:rFonts w:ascii="Cambria Math" w:hAnsi="Cambria Math"/>
                        <w:sz w:val="20"/>
                        <w:lang w:val="en-GB"/>
                      </w:rPr>
                    </m:ctrlPr>
                  </m:sSubPr>
                  <m:e>
                    <m:r>
                      <m:rPr>
                        <m:sty m:val="p"/>
                      </m:rPr>
                      <w:rPr>
                        <w:rFonts w:ascii="Cambria Math" w:hAnsi="Cambria Math"/>
                        <w:sz w:val="20"/>
                        <w:lang w:val="en-GB"/>
                      </w:rPr>
                      <m:t>β</m:t>
                    </m:r>
                  </m:e>
                  <m:sub>
                    <m:r>
                      <m:rPr>
                        <m:sty m:val="p"/>
                      </m:rPr>
                      <w:rPr>
                        <w:rFonts w:ascii="Cambria Math" w:hAnsi="Cambria Math"/>
                        <w:sz w:val="20"/>
                        <w:lang w:val="en-GB"/>
                      </w:rPr>
                      <m:t>0</m:t>
                    </m:r>
                  </m:sub>
                </m:sSub>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right w:val="single" w:sz="4" w:space="0" w:color="auto"/>
            </w:tcBorders>
            <w:vAlign w:val="center"/>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4</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bl>
    <w:p w:rsidR="00867347" w:rsidRDefault="009414C0">
      <w:pPr>
        <w:pStyle w:val="ListParagraph2"/>
        <w:numPr>
          <w:ilvl w:val="0"/>
          <w:numId w:val="7"/>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6E: Adjust p + Layer-specific p, Layer-common SD basis selection, layer-specific FD basis selection. Detailed parameters in the evaluations are given below.</w:t>
      </w:r>
    </w:p>
    <w:tbl>
      <w:tblPr>
        <w:tblStyle w:val="TableGrid1"/>
        <w:tblW w:w="5035" w:type="dxa"/>
        <w:jc w:val="center"/>
        <w:tblLayout w:type="fixed"/>
        <w:tblLook w:val="04A0" w:firstRow="1" w:lastRow="0" w:firstColumn="1" w:lastColumn="0" w:noHBand="0" w:noVBand="1"/>
      </w:tblPr>
      <w:tblGrid>
        <w:gridCol w:w="715"/>
        <w:gridCol w:w="1080"/>
        <w:gridCol w:w="1080"/>
        <w:gridCol w:w="1080"/>
        <w:gridCol w:w="1080"/>
      </w:tblGrid>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RI</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Layer</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L</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i/>
                <w:sz w:val="20"/>
                <w:lang w:val="en-GB"/>
              </w:rPr>
            </w:pPr>
            <w:r>
              <w:rPr>
                <w:rFonts w:ascii="Times" w:eastAsia="Batang" w:hAnsi="Times"/>
                <w:i/>
                <w:sz w:val="20"/>
                <w:lang w:val="en-GB"/>
              </w:rPr>
              <w:t>p</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hAnsi="Times"/>
                <w:i/>
                <w:sz w:val="20"/>
                <w:lang w:val="en-GB"/>
              </w:rPr>
            </w:pPr>
            <m:oMathPara>
              <m:oMath>
                <m:r>
                  <w:rPr>
                    <w:rFonts w:ascii="Cambria Math" w:hAnsi="Cambria Math"/>
                    <w:sz w:val="20"/>
                    <w:lang w:val="en-GB"/>
                  </w:rPr>
                  <m:t>β</m:t>
                </m:r>
              </m:oMath>
            </m:oMathPara>
          </w:p>
        </w:tc>
      </w:tr>
      <w:tr w:rsidR="00867347">
        <w:trPr>
          <w:jc w:val="center"/>
        </w:trPr>
        <w:tc>
          <w:tcPr>
            <w:tcW w:w="715"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Theme="minorEastAsia" w:hAnsi="Times"/>
                <w:sz w:val="20"/>
                <w:lang w:val="en-GB"/>
              </w:rPr>
            </w:pPr>
            <w:r>
              <w:rPr>
                <w:rFonts w:ascii="Times" w:eastAsiaTheme="minorEastAsia" w:hAnsi="Times" w:hint="eastAsia"/>
                <w:sz w:val="20"/>
                <w:lang w:val="en-GB"/>
              </w:rPr>
              <w:t>4</w:t>
            </w:r>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eastAsiaTheme="minorEastAsia"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oMath>
            </m:oMathPara>
          </w:p>
        </w:tc>
        <w:tc>
          <w:tcPr>
            <w:tcW w:w="1080" w:type="dxa"/>
            <w:vMerge w:val="restart"/>
            <w:tcBorders>
              <w:top w:val="single" w:sz="4" w:space="0" w:color="auto"/>
              <w:left w:val="single" w:sz="4" w:space="0" w:color="auto"/>
              <w:right w:val="single" w:sz="4" w:space="0" w:color="auto"/>
            </w:tcBorders>
          </w:tcPr>
          <w:p w:rsidR="00867347" w:rsidRDefault="00011D44">
            <w:pPr>
              <w:spacing w:after="0" w:line="240" w:lineRule="auto"/>
              <w:jc w:val="center"/>
              <w:rPr>
                <w:rFonts w:ascii="Times" w:hAnsi="Times"/>
                <w:sz w:val="20"/>
                <w:lang w:val="en-GB"/>
              </w:rPr>
            </w:pPr>
            <m:oMathPara>
              <m:oMath>
                <m:sSub>
                  <m:sSubPr>
                    <m:ctrlPr>
                      <w:rPr>
                        <w:rFonts w:ascii="Cambria Math" w:hAnsi="Cambria Math"/>
                        <w:sz w:val="20"/>
                        <w:lang w:val="en-GB"/>
                      </w:rPr>
                    </m:ctrlPr>
                  </m:sSubPr>
                  <m:e>
                    <m:r>
                      <m:rPr>
                        <m:sty m:val="p"/>
                      </m:rPr>
                      <w:rPr>
                        <w:rFonts w:ascii="Cambria Math" w:hAnsi="Cambria Math"/>
                        <w:sz w:val="20"/>
                        <w:lang w:val="en-GB"/>
                      </w:rPr>
                      <m:t>β</m:t>
                    </m:r>
                  </m:e>
                  <m:sub>
                    <m:r>
                      <m:rPr>
                        <m:sty m:val="p"/>
                      </m:rPr>
                      <w:rPr>
                        <w:rFonts w:ascii="Cambria Math" w:hAnsi="Cambria Math"/>
                        <w:sz w:val="20"/>
                        <w:lang w:val="en-GB"/>
                      </w:rPr>
                      <m:t>0</m:t>
                    </m:r>
                  </m:sub>
                </m:sSub>
              </m:oMath>
            </m:oMathPara>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oMath>
            </m:oMathPara>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left w:val="single" w:sz="4" w:space="0" w:color="auto"/>
              <w:bottom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r>
                  <w:rPr>
                    <w:rFonts w:ascii="Cambria Math" w:eastAsiaTheme="minorEastAsia" w:hAnsi="Cambria Math"/>
                    <w:sz w:val="20"/>
                    <w:lang w:val="en-GB"/>
                  </w:rPr>
                  <m:t>/2</m:t>
                </m:r>
              </m:oMath>
            </m:oMathPara>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r>
                  <w:rPr>
                    <w:rFonts w:ascii="Cambria Math" w:eastAsiaTheme="minorEastAsia" w:hAnsi="Cambria Math"/>
                    <w:sz w:val="20"/>
                    <w:lang w:val="en-GB"/>
                  </w:rPr>
                  <m:t>/2</m:t>
                </m:r>
              </m:oMath>
            </m:oMathPara>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hAnsi="Times"/>
                <w:sz w:val="20"/>
                <w:lang w:val="en-GB"/>
              </w:rPr>
            </w:pPr>
          </w:p>
        </w:tc>
      </w:tr>
      <w:tr w:rsidR="00867347">
        <w:trPr>
          <w:jc w:val="center"/>
        </w:trPr>
        <w:tc>
          <w:tcPr>
            <w:tcW w:w="715" w:type="dxa"/>
            <w:vMerge w:val="restart"/>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4</w:t>
            </w: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0</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val="restart"/>
            <w:tcBorders>
              <w:top w:val="single" w:sz="4" w:space="0" w:color="auto"/>
              <w:left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r>
                  <w:rPr>
                    <w:rFonts w:ascii="Cambria Math" w:eastAsiaTheme="minorEastAsia" w:hAnsi="Cambria Math"/>
                    <w:sz w:val="20"/>
                    <w:lang w:val="en-GB"/>
                  </w:rPr>
                  <m:t>/2</m:t>
                </m:r>
              </m:oMath>
            </m:oMathPara>
          </w:p>
        </w:tc>
        <w:tc>
          <w:tcPr>
            <w:tcW w:w="1080" w:type="dxa"/>
            <w:vMerge/>
            <w:tcBorders>
              <w:left w:val="single" w:sz="4" w:space="0" w:color="auto"/>
              <w:right w:val="single" w:sz="4" w:space="0" w:color="auto"/>
            </w:tcBorders>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1</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2</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val="restart"/>
            <w:tcBorders>
              <w:top w:val="single" w:sz="4" w:space="0" w:color="auto"/>
              <w:left w:val="single" w:sz="4" w:space="0" w:color="auto"/>
              <w:right w:val="single" w:sz="4" w:space="0" w:color="auto"/>
            </w:tcBorders>
            <w:vAlign w:val="center"/>
          </w:tcPr>
          <w:p w:rsidR="00867347" w:rsidRDefault="00011D44">
            <w:pPr>
              <w:spacing w:after="0" w:line="240" w:lineRule="auto"/>
              <w:jc w:val="center"/>
              <w:rPr>
                <w:rFonts w:ascii="Times" w:eastAsia="Batang" w:hAnsi="Times"/>
                <w:sz w:val="20"/>
                <w:lang w:val="en-GB"/>
              </w:rPr>
            </w:pPr>
            <m:oMathPara>
              <m:oMath>
                <m:sSub>
                  <m:sSubPr>
                    <m:ctrlPr>
                      <w:rPr>
                        <w:rFonts w:ascii="Cambria Math" w:eastAsiaTheme="minorEastAsia" w:hAnsi="Cambria Math"/>
                        <w:sz w:val="20"/>
                        <w:lang w:val="en-GB"/>
                      </w:rPr>
                    </m:ctrlPr>
                  </m:sSubPr>
                  <m:e>
                    <m:r>
                      <m:rPr>
                        <m:sty m:val="p"/>
                      </m:rPr>
                      <w:rPr>
                        <w:rFonts w:ascii="Cambria Math" w:eastAsiaTheme="minorEastAsia" w:hAnsi="Cambria Math"/>
                        <w:sz w:val="20"/>
                        <w:lang w:val="en-GB"/>
                      </w:rPr>
                      <m:t>p</m:t>
                    </m:r>
                  </m:e>
                  <m:sub>
                    <m:r>
                      <m:rPr>
                        <m:sty m:val="p"/>
                      </m:rPr>
                      <w:rPr>
                        <w:rFonts w:ascii="Cambria Math" w:eastAsiaTheme="minorEastAsia" w:hAnsi="Cambria Math"/>
                        <w:sz w:val="20"/>
                        <w:lang w:val="en-GB"/>
                      </w:rPr>
                      <m:t>0</m:t>
                    </m:r>
                  </m:sub>
                </m:sSub>
                <m:r>
                  <w:rPr>
                    <w:rFonts w:ascii="Cambria Math" w:eastAsiaTheme="minorEastAsia" w:hAnsi="Cambria Math"/>
                    <w:sz w:val="20"/>
                    <w:lang w:val="en-GB"/>
                  </w:rPr>
                  <m:t>/2</m:t>
                </m:r>
              </m:oMath>
            </m:oMathPara>
          </w:p>
        </w:tc>
        <w:tc>
          <w:tcPr>
            <w:tcW w:w="1080" w:type="dxa"/>
            <w:vMerge/>
            <w:tcBorders>
              <w:left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r w:rsidR="00867347">
        <w:trPr>
          <w:jc w:val="center"/>
        </w:trPr>
        <w:tc>
          <w:tcPr>
            <w:tcW w:w="715"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tcBorders>
              <w:top w:val="single" w:sz="4" w:space="0" w:color="auto"/>
              <w:left w:val="single" w:sz="4" w:space="0" w:color="auto"/>
              <w:bottom w:val="single" w:sz="4" w:space="0" w:color="auto"/>
              <w:right w:val="single" w:sz="4" w:space="0" w:color="auto"/>
            </w:tcBorders>
          </w:tcPr>
          <w:p w:rsidR="00867347" w:rsidRDefault="009414C0">
            <w:pPr>
              <w:spacing w:after="0" w:line="240" w:lineRule="auto"/>
              <w:jc w:val="center"/>
              <w:rPr>
                <w:rFonts w:ascii="Times" w:eastAsia="Batang" w:hAnsi="Times"/>
                <w:sz w:val="20"/>
                <w:lang w:val="en-GB"/>
              </w:rPr>
            </w:pPr>
            <w:r>
              <w:rPr>
                <w:rFonts w:ascii="Times" w:eastAsia="Batang" w:hAnsi="Times"/>
                <w:sz w:val="20"/>
                <w:lang w:val="en-GB"/>
              </w:rPr>
              <w:t>3</w:t>
            </w:r>
          </w:p>
        </w:tc>
        <w:tc>
          <w:tcPr>
            <w:tcW w:w="1080" w:type="dxa"/>
            <w:vMerge/>
            <w:tcBorders>
              <w:top w:val="single" w:sz="4" w:space="0" w:color="auto"/>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c>
          <w:tcPr>
            <w:tcW w:w="1080" w:type="dxa"/>
            <w:vMerge/>
            <w:tcBorders>
              <w:left w:val="single" w:sz="4" w:space="0" w:color="auto"/>
              <w:bottom w:val="single" w:sz="4" w:space="0" w:color="auto"/>
              <w:right w:val="single" w:sz="4" w:space="0" w:color="auto"/>
            </w:tcBorders>
            <w:vAlign w:val="center"/>
          </w:tcPr>
          <w:p w:rsidR="00867347" w:rsidRDefault="00867347">
            <w:pPr>
              <w:spacing w:after="0" w:line="240" w:lineRule="auto"/>
              <w:jc w:val="center"/>
              <w:rPr>
                <w:rFonts w:ascii="Times" w:eastAsia="Batang" w:hAnsi="Times"/>
                <w:sz w:val="20"/>
                <w:lang w:val="en-GB"/>
              </w:rPr>
            </w:pPr>
          </w:p>
        </w:tc>
      </w:tr>
    </w:tbl>
    <w:p w:rsidR="00867347" w:rsidRDefault="009414C0">
      <w:pPr>
        <w:snapToGrid w:val="0"/>
        <w:spacing w:before="120" w:afterLines="50" w:after="120" w:line="240" w:lineRule="auto"/>
        <w:jc w:val="both"/>
        <w:rPr>
          <w:rFonts w:eastAsia="微软雅黑"/>
          <w:sz w:val="20"/>
          <w:szCs w:val="20"/>
        </w:rPr>
      </w:pPr>
      <w:r>
        <w:rPr>
          <w:rFonts w:eastAsia="微软雅黑"/>
          <w:sz w:val="20"/>
          <w:szCs w:val="20"/>
        </w:rPr>
        <w:t xml:space="preserve">The difference between some alternatives are very small. For example, the difference between Alt 4A and 4C is that 4C allows a different L value for layer 3 from layer 2. </w:t>
      </w:r>
    </w:p>
    <w:p w:rsidR="00867347" w:rsidRDefault="009414C0">
      <w:pPr>
        <w:pStyle w:val="Heading1"/>
        <w:tabs>
          <w:tab w:val="clear" w:pos="432"/>
        </w:tabs>
        <w:snapToGrid w:val="0"/>
        <w:spacing w:beforeLines="50" w:before="120" w:afterLines="50" w:after="120"/>
        <w:ind w:left="431" w:hanging="431"/>
        <w:rPr>
          <w:sz w:val="28"/>
          <w:lang w:val="en-US"/>
        </w:rPr>
      </w:pPr>
      <w:r>
        <w:rPr>
          <w:sz w:val="28"/>
          <w:lang w:val="en-US"/>
        </w:rPr>
        <w:t>Evaluation results</w:t>
      </w:r>
    </w:p>
    <w:p w:rsidR="00867347" w:rsidRDefault="009414C0">
      <w:pPr>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evaluate the performance overhead trade-off for the above 9 alternatives with SLS. In the simulations, p0 is set as {1/4, 1/2}, and </w:t>
      </w:r>
      <m:oMath>
        <m:r>
          <m:rPr>
            <m:sty m:val="p"/>
          </m:rPr>
          <w:rPr>
            <w:rFonts w:ascii="Cambria Math" w:eastAsia="微软雅黑" w:hAnsi="Cambria Math"/>
            <w:sz w:val="20"/>
            <w:szCs w:val="20"/>
          </w:rPr>
          <m:t>β0</m:t>
        </m:r>
      </m:oMath>
      <w:r>
        <w:rPr>
          <w:rFonts w:eastAsia="微软雅黑" w:hint="eastAsia"/>
          <w:sz w:val="20"/>
          <w:szCs w:val="20"/>
        </w:rPr>
        <w:t xml:space="preserve"> </w:t>
      </w:r>
      <w:r>
        <w:rPr>
          <w:rFonts w:eastAsia="微软雅黑"/>
          <w:sz w:val="20"/>
          <w:szCs w:val="20"/>
        </w:rPr>
        <w:t xml:space="preserve">values are {1/4, 1/2, 3/4}. Quantization approach follows the per-polarization differential approach agreed in RAN1#96 with 3-bit phase. The results for p0=1/4 and </w:t>
      </w:r>
      <m:oMath>
        <m:r>
          <m:rPr>
            <m:sty m:val="p"/>
          </m:rPr>
          <w:rPr>
            <w:rFonts w:ascii="Cambria Math" w:eastAsia="微软雅黑" w:hAnsi="Cambria Math"/>
            <w:sz w:val="20"/>
            <w:szCs w:val="20"/>
          </w:rPr>
          <m:t>β0</m:t>
        </m:r>
      </m:oMath>
      <w:r>
        <w:rPr>
          <w:rFonts w:eastAsia="微软雅黑" w:hint="eastAsia"/>
          <w:sz w:val="20"/>
          <w:szCs w:val="20"/>
        </w:rPr>
        <w:t xml:space="preserve"> </w:t>
      </w:r>
      <w:proofErr w:type="gramStart"/>
      <w:r>
        <w:rPr>
          <w:rFonts w:eastAsia="微软雅黑"/>
          <w:sz w:val="20"/>
          <w:szCs w:val="20"/>
        </w:rPr>
        <w:t>={</w:t>
      </w:r>
      <w:proofErr w:type="gramEnd"/>
      <w:r>
        <w:rPr>
          <w:rFonts w:eastAsia="微软雅黑"/>
          <w:sz w:val="20"/>
          <w:szCs w:val="20"/>
        </w:rPr>
        <w:t xml:space="preserve">1/4, 1/2, 3/4} are shown in Fig. 1a, and the Fig. 1b depicts the results for p0=1/2 and </w:t>
      </w:r>
      <m:oMath>
        <m:r>
          <m:rPr>
            <m:sty m:val="p"/>
          </m:rPr>
          <w:rPr>
            <w:rFonts w:ascii="Cambria Math" w:eastAsia="微软雅黑" w:hAnsi="Cambria Math"/>
            <w:sz w:val="20"/>
            <w:szCs w:val="20"/>
          </w:rPr>
          <m:t>β0</m:t>
        </m:r>
      </m:oMath>
      <w:r>
        <w:rPr>
          <w:rFonts w:eastAsia="微软雅黑" w:hint="eastAsia"/>
          <w:sz w:val="20"/>
          <w:szCs w:val="20"/>
        </w:rPr>
        <w:t xml:space="preserve"> </w:t>
      </w:r>
      <w:r>
        <w:rPr>
          <w:rFonts w:eastAsia="微软雅黑"/>
          <w:sz w:val="20"/>
          <w:szCs w:val="20"/>
        </w:rPr>
        <w:t>={1/4, 1/2, 3/4}.</w:t>
      </w:r>
    </w:p>
    <w:p w:rsidR="00867347" w:rsidRDefault="00E770AA">
      <w:pPr>
        <w:snapToGrid w:val="0"/>
        <w:spacing w:before="120" w:afterLines="50" w:after="120" w:line="240" w:lineRule="auto"/>
        <w:jc w:val="center"/>
        <w:rPr>
          <w:rFonts w:eastAsia="微软雅黑"/>
          <w:sz w:val="20"/>
          <w:szCs w:val="20"/>
        </w:rPr>
      </w:pPr>
      <w:r>
        <w:rPr>
          <w:noProof/>
        </w:rPr>
        <w:drawing>
          <wp:inline distT="0" distB="0" distL="0" distR="0">
            <wp:extent cx="5901324" cy="3600000"/>
            <wp:effectExtent l="0" t="0" r="444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1324" cy="3600000"/>
                    </a:xfrm>
                    <a:prstGeom prst="rect">
                      <a:avLst/>
                    </a:prstGeom>
                    <a:noFill/>
                    <a:ln>
                      <a:noFill/>
                    </a:ln>
                  </pic:spPr>
                </pic:pic>
              </a:graphicData>
            </a:graphic>
          </wp:inline>
        </w:drawing>
      </w:r>
    </w:p>
    <w:p w:rsidR="00867347" w:rsidRDefault="009414C0">
      <w:pPr>
        <w:snapToGrid w:val="0"/>
        <w:spacing w:before="120" w:afterLines="50" w:after="120" w:line="240" w:lineRule="auto"/>
        <w:jc w:val="center"/>
        <w:rPr>
          <w:rFonts w:eastAsia="微软雅黑"/>
          <w:sz w:val="20"/>
          <w:szCs w:val="20"/>
        </w:rPr>
      </w:pPr>
      <w:r>
        <w:rPr>
          <w:rFonts w:eastAsia="微软雅黑" w:hint="eastAsia"/>
          <w:sz w:val="20"/>
          <w:szCs w:val="20"/>
        </w:rPr>
        <w:t>(</w:t>
      </w:r>
      <w:r>
        <w:rPr>
          <w:rFonts w:eastAsia="微软雅黑"/>
          <w:sz w:val="20"/>
          <w:szCs w:val="20"/>
        </w:rPr>
        <w:t>a)</w:t>
      </w:r>
    </w:p>
    <w:p w:rsidR="00867347" w:rsidRDefault="00EE71F1">
      <w:pPr>
        <w:snapToGrid w:val="0"/>
        <w:spacing w:before="120" w:afterLines="50" w:after="120" w:line="240" w:lineRule="auto"/>
        <w:jc w:val="center"/>
        <w:rPr>
          <w:rFonts w:eastAsia="微软雅黑"/>
          <w:sz w:val="20"/>
          <w:szCs w:val="20"/>
        </w:rPr>
      </w:pPr>
      <w:r>
        <w:rPr>
          <w:noProof/>
        </w:rPr>
        <w:lastRenderedPageBreak/>
        <w:drawing>
          <wp:inline distT="0" distB="0" distL="0" distR="0">
            <wp:extent cx="5901324" cy="3600000"/>
            <wp:effectExtent l="0" t="0" r="444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324" cy="3600000"/>
                    </a:xfrm>
                    <a:prstGeom prst="rect">
                      <a:avLst/>
                    </a:prstGeom>
                    <a:noFill/>
                    <a:ln>
                      <a:noFill/>
                    </a:ln>
                  </pic:spPr>
                </pic:pic>
              </a:graphicData>
            </a:graphic>
          </wp:inline>
        </w:drawing>
      </w:r>
    </w:p>
    <w:p w:rsidR="00867347" w:rsidRDefault="009414C0">
      <w:pPr>
        <w:snapToGrid w:val="0"/>
        <w:spacing w:before="120" w:afterLines="50" w:after="120" w:line="240" w:lineRule="auto"/>
        <w:jc w:val="center"/>
        <w:rPr>
          <w:rFonts w:eastAsia="微软雅黑"/>
          <w:sz w:val="20"/>
          <w:szCs w:val="20"/>
        </w:rPr>
      </w:pPr>
      <w:r>
        <w:rPr>
          <w:rFonts w:eastAsia="微软雅黑" w:hint="eastAsia"/>
          <w:sz w:val="20"/>
          <w:szCs w:val="20"/>
        </w:rPr>
        <w:t>(</w:t>
      </w:r>
      <w:r>
        <w:rPr>
          <w:rFonts w:eastAsia="微软雅黑"/>
          <w:sz w:val="20"/>
          <w:szCs w:val="20"/>
        </w:rPr>
        <w:t>b)</w:t>
      </w:r>
    </w:p>
    <w:p w:rsidR="00867347" w:rsidRDefault="009414C0">
      <w:pPr>
        <w:snapToGrid w:val="0"/>
        <w:spacing w:before="120" w:afterLines="50" w:after="120" w:line="240" w:lineRule="auto"/>
        <w:jc w:val="center"/>
        <w:rPr>
          <w:rFonts w:eastAsia="微软雅黑"/>
          <w:sz w:val="20"/>
          <w:szCs w:val="20"/>
        </w:rPr>
      </w:pPr>
      <w:r>
        <w:rPr>
          <w:rFonts w:eastAsia="微软雅黑"/>
          <w:sz w:val="20"/>
          <w:szCs w:val="20"/>
        </w:rPr>
        <w:t>Fig. 1 Performance-overhead trade-off of different alternatives for higher-rank extension</w:t>
      </w:r>
    </w:p>
    <w:p w:rsidR="00867347" w:rsidRDefault="009414C0">
      <w:pPr>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rom Fig. 1, we observe the following</w:t>
      </w:r>
    </w:p>
    <w:p w:rsidR="00867347" w:rsidRDefault="009414C0">
      <w:pPr>
        <w:pStyle w:val="ListParagraph2"/>
        <w:numPr>
          <w:ilvl w:val="0"/>
          <w:numId w:val="13"/>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T</w:t>
      </w:r>
      <w:r>
        <w:rPr>
          <w:rFonts w:eastAsia="微软雅黑"/>
          <w:sz w:val="20"/>
          <w:szCs w:val="20"/>
        </w:rPr>
        <w:t xml:space="preserve">o adjust L value i.e., Alt 3B, Alt 4A, Alt 4C, Alt 6C, for different ranks/layers causes </w:t>
      </w:r>
      <w:r w:rsidR="00434C5E">
        <w:rPr>
          <w:rFonts w:eastAsia="微软雅黑"/>
          <w:sz w:val="20"/>
          <w:szCs w:val="20"/>
        </w:rPr>
        <w:t xml:space="preserve">up to </w:t>
      </w:r>
      <w:r w:rsidR="000F4DDA">
        <w:rPr>
          <w:rFonts w:eastAsia="微软雅黑"/>
          <w:sz w:val="20"/>
          <w:szCs w:val="20"/>
        </w:rPr>
        <w:t>8</w:t>
      </w:r>
      <w:r>
        <w:rPr>
          <w:rFonts w:eastAsia="微软雅黑"/>
          <w:sz w:val="20"/>
          <w:szCs w:val="20"/>
        </w:rPr>
        <w:t xml:space="preserve">% performance loss compared to adjust p and </w:t>
      </w:r>
      <m:oMath>
        <m:r>
          <m:rPr>
            <m:sty m:val="p"/>
          </m:rPr>
          <w:rPr>
            <w:rFonts w:ascii="Cambria Math" w:eastAsia="微软雅黑" w:hAnsi="Cambria Math"/>
            <w:sz w:val="20"/>
            <w:szCs w:val="20"/>
          </w:rPr>
          <m:t>β</m:t>
        </m:r>
      </m:oMath>
      <w:r>
        <w:rPr>
          <w:rFonts w:eastAsia="微软雅黑"/>
          <w:sz w:val="20"/>
          <w:szCs w:val="20"/>
        </w:rPr>
        <w:t>, although SD basis vectors are selected layer-specifically for these alternatives. Hence the number of selected SD paths has large impact on the performance.</w:t>
      </w:r>
    </w:p>
    <w:p w:rsidR="00867347" w:rsidRDefault="009414C0">
      <w:pPr>
        <w:pStyle w:val="ListParagraph2"/>
        <w:numPr>
          <w:ilvl w:val="0"/>
          <w:numId w:val="13"/>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T</w:t>
      </w:r>
      <w:r>
        <w:rPr>
          <w:rFonts w:eastAsia="微软雅黑"/>
          <w:sz w:val="20"/>
          <w:szCs w:val="20"/>
        </w:rPr>
        <w:t xml:space="preserve">he performance of adjusting p and </w:t>
      </w:r>
      <m:oMath>
        <m:r>
          <m:rPr>
            <m:sty m:val="p"/>
          </m:rPr>
          <w:rPr>
            <w:rFonts w:ascii="Cambria Math" w:eastAsia="微软雅黑" w:hAnsi="Cambria Math"/>
            <w:sz w:val="20"/>
            <w:szCs w:val="20"/>
          </w:rPr>
          <m:t>β</m:t>
        </m:r>
      </m:oMath>
      <w:r>
        <w:rPr>
          <w:rFonts w:eastAsia="微软雅黑" w:hint="eastAsia"/>
          <w:sz w:val="20"/>
          <w:szCs w:val="20"/>
        </w:rPr>
        <w:t xml:space="preserve"> </w:t>
      </w:r>
      <w:r>
        <w:rPr>
          <w:rFonts w:eastAsia="微软雅黑"/>
          <w:sz w:val="20"/>
          <w:szCs w:val="20"/>
        </w:rPr>
        <w:t xml:space="preserve">is similar. However, to adjust p, i.e., Alt 5C, Alt 6E, brings more overhead reduction than to adjust </w:t>
      </w:r>
      <m:oMath>
        <m:r>
          <m:rPr>
            <m:sty m:val="p"/>
          </m:rPr>
          <w:rPr>
            <w:rFonts w:ascii="Cambria Math" w:eastAsia="微软雅黑" w:hAnsi="Cambria Math"/>
            <w:sz w:val="20"/>
            <w:szCs w:val="20"/>
          </w:rPr>
          <m:t>β</m:t>
        </m:r>
      </m:oMath>
      <w:r>
        <w:rPr>
          <w:rFonts w:eastAsia="微软雅黑" w:hint="eastAsia"/>
          <w:sz w:val="20"/>
          <w:szCs w:val="20"/>
        </w:rPr>
        <w:t xml:space="preserve"> </w:t>
      </w:r>
      <w:r>
        <w:rPr>
          <w:rFonts w:eastAsia="微软雅黑"/>
          <w:sz w:val="20"/>
          <w:szCs w:val="20"/>
        </w:rPr>
        <w:t>(Alt 1), as reducing p also reduces the overhead for bitmap indication in Part 2.</w:t>
      </w:r>
    </w:p>
    <w:p w:rsidR="00867347" w:rsidRDefault="009414C0">
      <w:pPr>
        <w:pStyle w:val="ListParagraph2"/>
        <w:numPr>
          <w:ilvl w:val="0"/>
          <w:numId w:val="13"/>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5C provides the best performance-overhead trade-off, and it’s also one of the simplest solutions.</w:t>
      </w:r>
    </w:p>
    <w:p w:rsidR="00867347" w:rsidRDefault="009414C0">
      <w:pPr>
        <w:pStyle w:val="ListParagraph2"/>
        <w:numPr>
          <w:ilvl w:val="0"/>
          <w:numId w:val="13"/>
        </w:numPr>
        <w:snapToGrid w:val="0"/>
        <w:spacing w:before="120" w:afterLines="50" w:after="120" w:line="240" w:lineRule="auto"/>
        <w:ind w:firstLineChars="0"/>
        <w:jc w:val="both"/>
        <w:rPr>
          <w:rFonts w:eastAsia="微软雅黑"/>
          <w:sz w:val="20"/>
          <w:szCs w:val="20"/>
        </w:rPr>
      </w:pPr>
      <w:r>
        <w:rPr>
          <w:rFonts w:eastAsia="微软雅黑"/>
          <w:sz w:val="20"/>
          <w:szCs w:val="20"/>
        </w:rPr>
        <w:t>RI-common L/p/</w:t>
      </w:r>
      <m:oMath>
        <m:r>
          <m:rPr>
            <m:sty m:val="p"/>
          </m:rPr>
          <w:rPr>
            <w:rFonts w:ascii="Cambria Math" w:eastAsia="微软雅黑" w:hAnsi="Cambria Math"/>
            <w:sz w:val="20"/>
            <w:szCs w:val="20"/>
          </w:rPr>
          <m:t>β</m:t>
        </m:r>
      </m:oMath>
      <w:r>
        <w:rPr>
          <w:rFonts w:eastAsia="微软雅黑" w:hint="eastAsia"/>
          <w:sz w:val="20"/>
          <w:szCs w:val="20"/>
        </w:rPr>
        <w:t xml:space="preserve"> </w:t>
      </w:r>
      <w:r>
        <w:rPr>
          <w:rFonts w:eastAsia="微软雅黑"/>
          <w:sz w:val="20"/>
          <w:szCs w:val="20"/>
        </w:rPr>
        <w:t>among RI</w:t>
      </w:r>
      <w:proofErr w:type="gramStart"/>
      <w:r>
        <w:rPr>
          <w:rFonts w:eastAsia="微软雅黑"/>
          <w:sz w:val="20"/>
          <w:szCs w:val="20"/>
        </w:rPr>
        <w:t>={</w:t>
      </w:r>
      <w:proofErr w:type="gramEnd"/>
      <w:r>
        <w:rPr>
          <w:rFonts w:eastAsia="微软雅黑"/>
          <w:sz w:val="20"/>
          <w:szCs w:val="20"/>
        </w:rPr>
        <w:t>1,2,3,4} (Alt 2B) causes larger overhead compared with others, as the overhead for the first two layers cannot be reduced.</w:t>
      </w:r>
    </w:p>
    <w:p w:rsidR="00867347" w:rsidRDefault="009414C0">
      <w:pPr>
        <w:pStyle w:val="ListParagraph2"/>
        <w:numPr>
          <w:ilvl w:val="0"/>
          <w:numId w:val="13"/>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Comparing Alt 5C </w:t>
      </w:r>
      <w:proofErr w:type="spellStart"/>
      <w:r>
        <w:rPr>
          <w:rFonts w:eastAsia="微软雅黑"/>
          <w:sz w:val="20"/>
          <w:szCs w:val="20"/>
        </w:rPr>
        <w:t>v.s</w:t>
      </w:r>
      <w:proofErr w:type="spellEnd"/>
      <w:r>
        <w:rPr>
          <w:rFonts w:eastAsia="微软雅黑"/>
          <w:sz w:val="20"/>
          <w:szCs w:val="20"/>
        </w:rPr>
        <w:t>. Alt 6E, or Alt 1 (layer-</w:t>
      </w:r>
      <w:proofErr w:type="gramStart"/>
      <w:r>
        <w:rPr>
          <w:rFonts w:eastAsia="微软雅黑"/>
          <w:sz w:val="20"/>
          <w:szCs w:val="20"/>
        </w:rPr>
        <w:t xml:space="preserve">common </w:t>
      </w:r>
      <w:proofErr w:type="gramEnd"/>
      <m:oMath>
        <m:r>
          <m:rPr>
            <m:sty m:val="p"/>
          </m:rPr>
          <w:rPr>
            <w:rFonts w:ascii="Cambria Math" w:eastAsia="微软雅黑" w:hAnsi="Cambria Math"/>
            <w:sz w:val="20"/>
            <w:szCs w:val="20"/>
          </w:rPr>
          <m:t>β</m:t>
        </m:r>
      </m:oMath>
      <w:r>
        <w:rPr>
          <w:rFonts w:eastAsia="微软雅黑"/>
          <w:sz w:val="20"/>
          <w:szCs w:val="20"/>
        </w:rPr>
        <w:t xml:space="preserve">) v.s. Alt 1 (layer-specific </w:t>
      </w:r>
      <m:oMath>
        <m:r>
          <m:rPr>
            <m:sty m:val="p"/>
          </m:rPr>
          <w:rPr>
            <w:rFonts w:ascii="Cambria Math" w:eastAsia="微软雅黑" w:hAnsi="Cambria Math"/>
            <w:sz w:val="20"/>
            <w:szCs w:val="20"/>
          </w:rPr>
          <m:t>β</m:t>
        </m:r>
      </m:oMath>
      <w:r>
        <w:rPr>
          <w:rFonts w:eastAsia="微软雅黑"/>
          <w:sz w:val="20"/>
          <w:szCs w:val="20"/>
        </w:rPr>
        <w:t>), layer-specific does not bring performance gain over layer-common configurations. In</w:t>
      </w:r>
      <w:r w:rsidR="00F93A05">
        <w:rPr>
          <w:rFonts w:eastAsia="微软雅黑"/>
          <w:sz w:val="20"/>
          <w:szCs w:val="20"/>
        </w:rPr>
        <w:t xml:space="preserve"> </w:t>
      </w:r>
      <w:r w:rsidR="00011D44">
        <w:rPr>
          <w:rFonts w:eastAsia="微软雅黑"/>
          <w:sz w:val="20"/>
          <w:szCs w:val="20"/>
        </w:rPr>
        <w:t>most</w:t>
      </w:r>
      <w:bookmarkStart w:id="2" w:name="_GoBack"/>
      <w:bookmarkEnd w:id="2"/>
      <w:r w:rsidR="00F93A05">
        <w:rPr>
          <w:rFonts w:eastAsia="微软雅黑"/>
          <w:sz w:val="20"/>
          <w:szCs w:val="20"/>
        </w:rPr>
        <w:t xml:space="preserve"> case</w:t>
      </w:r>
      <w:r>
        <w:rPr>
          <w:rFonts w:eastAsia="微软雅黑"/>
          <w:sz w:val="20"/>
          <w:szCs w:val="20"/>
        </w:rPr>
        <w:t xml:space="preserve">, it causes performance loss. </w:t>
      </w:r>
    </w:p>
    <w:p w:rsidR="00867347" w:rsidRDefault="009414C0">
      <w:pPr>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o further investigate the impact of layer-specific and layer-common to the UE RI calculation, we count the percentage of different </w:t>
      </w:r>
      <w:r>
        <w:rPr>
          <w:rFonts w:eastAsia="微软雅黑" w:hint="eastAsia"/>
          <w:sz w:val="20"/>
          <w:szCs w:val="20"/>
        </w:rPr>
        <w:t>rank</w:t>
      </w:r>
      <w:r>
        <w:rPr>
          <w:rFonts w:eastAsia="微软雅黑"/>
          <w:sz w:val="20"/>
          <w:szCs w:val="20"/>
        </w:rPr>
        <w:t xml:space="preserve"> values reported by UE in the examples of Alt 1 (layer-</w:t>
      </w:r>
      <w:proofErr w:type="gramStart"/>
      <w:r>
        <w:rPr>
          <w:rFonts w:eastAsia="微软雅黑"/>
          <w:sz w:val="20"/>
          <w:szCs w:val="20"/>
        </w:rPr>
        <w:t>common</w:t>
      </w:r>
      <w:r>
        <w:rPr>
          <w:rFonts w:eastAsia="微软雅黑" w:hint="eastAsia"/>
          <w:sz w:val="20"/>
          <w:szCs w:val="20"/>
        </w:rPr>
        <w:t xml:space="preserve"> </w:t>
      </w:r>
      <w:proofErr w:type="gramEnd"/>
      <m:oMath>
        <m:r>
          <m:rPr>
            <m:sty m:val="p"/>
          </m:rPr>
          <w:rPr>
            <w:rFonts w:ascii="Cambria Math" w:eastAsia="微软雅黑" w:hAnsi="Cambria Math"/>
            <w:sz w:val="20"/>
            <w:szCs w:val="20"/>
          </w:rPr>
          <m:t>β</m:t>
        </m:r>
      </m:oMath>
      <w:r>
        <w:rPr>
          <w:rFonts w:eastAsia="微软雅黑"/>
          <w:sz w:val="20"/>
          <w:szCs w:val="20"/>
        </w:rPr>
        <w:t>) and Alt 1 (layer-specific</w:t>
      </w:r>
      <w:r>
        <w:rPr>
          <w:rFonts w:eastAsia="微软雅黑" w:hint="eastAsia"/>
          <w:sz w:val="20"/>
          <w:szCs w:val="20"/>
        </w:rPr>
        <w:t xml:space="preserve"> </w:t>
      </w:r>
      <m:oMath>
        <m:r>
          <m:rPr>
            <m:sty m:val="p"/>
          </m:rPr>
          <w:rPr>
            <w:rFonts w:ascii="Cambria Math" w:eastAsia="微软雅黑" w:hAnsi="Cambria Math"/>
            <w:sz w:val="20"/>
            <w:szCs w:val="20"/>
          </w:rPr>
          <m:t>β</m:t>
        </m:r>
      </m:oMath>
      <w:r>
        <w:rPr>
          <w:rFonts w:eastAsia="微软雅黑"/>
          <w:sz w:val="20"/>
          <w:szCs w:val="20"/>
        </w:rPr>
        <w:t>). Results are shown in Fig. 2</w:t>
      </w:r>
      <w:r w:rsidR="00927260">
        <w:rPr>
          <w:rFonts w:eastAsia="微软雅黑"/>
          <w:sz w:val="20"/>
          <w:szCs w:val="20"/>
        </w:rPr>
        <w:t>.</w:t>
      </w:r>
    </w:p>
    <w:p w:rsidR="00867347" w:rsidRDefault="0068595C">
      <w:pPr>
        <w:snapToGrid w:val="0"/>
        <w:spacing w:before="120" w:afterLines="50" w:after="120" w:line="240" w:lineRule="auto"/>
        <w:jc w:val="center"/>
        <w:rPr>
          <w:rFonts w:eastAsia="微软雅黑"/>
          <w:sz w:val="20"/>
          <w:szCs w:val="20"/>
        </w:rPr>
      </w:pPr>
      <w:r>
        <w:rPr>
          <w:noProof/>
        </w:rPr>
        <w:lastRenderedPageBreak/>
        <w:drawing>
          <wp:inline distT="0" distB="0" distL="0" distR="0" wp14:anchorId="67405374" wp14:editId="6DFA25E1">
            <wp:extent cx="4786630" cy="2372360"/>
            <wp:effectExtent l="0" t="0" r="0" b="889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4786630" cy="2372360"/>
                    </a:xfrm>
                    <a:prstGeom prst="rect">
                      <a:avLst/>
                    </a:prstGeom>
                  </pic:spPr>
                </pic:pic>
              </a:graphicData>
            </a:graphic>
          </wp:inline>
        </w:drawing>
      </w:r>
    </w:p>
    <w:p w:rsidR="00867347" w:rsidRDefault="009414C0">
      <w:pPr>
        <w:snapToGrid w:val="0"/>
        <w:spacing w:before="120" w:afterLines="50" w:after="120" w:line="240" w:lineRule="auto"/>
        <w:jc w:val="center"/>
        <w:rPr>
          <w:rFonts w:eastAsia="微软雅黑"/>
          <w:sz w:val="20"/>
          <w:szCs w:val="20"/>
        </w:rPr>
      </w:pPr>
      <w:r>
        <w:rPr>
          <w:rFonts w:eastAsia="微软雅黑"/>
          <w:sz w:val="20"/>
          <w:szCs w:val="20"/>
        </w:rPr>
        <w:t>Fig. 2 Percentage of different rank values reported by UE for Alt 1</w:t>
      </w:r>
    </w:p>
    <w:p w:rsidR="00867347" w:rsidRDefault="009414C0">
      <w:pPr>
        <w:snapToGrid w:val="0"/>
        <w:spacing w:before="120" w:afterLines="50" w:after="120" w:line="240" w:lineRule="auto"/>
        <w:jc w:val="both"/>
        <w:rPr>
          <w:rFonts w:eastAsia="微软雅黑"/>
          <w:sz w:val="20"/>
          <w:szCs w:val="20"/>
        </w:rPr>
      </w:pPr>
      <w:r>
        <w:rPr>
          <w:rFonts w:eastAsia="微软雅黑"/>
          <w:sz w:val="20"/>
          <w:szCs w:val="20"/>
        </w:rPr>
        <w:t>It can be seen in Fig. 2 that the used layer-specific setup/configuration leads to more selection</w:t>
      </w:r>
      <w:r w:rsidR="00A86618">
        <w:rPr>
          <w:rFonts w:eastAsia="微软雅黑"/>
          <w:sz w:val="20"/>
          <w:szCs w:val="20"/>
        </w:rPr>
        <w:t>s</w:t>
      </w:r>
      <w:r>
        <w:rPr>
          <w:rFonts w:eastAsia="微软雅黑"/>
          <w:sz w:val="20"/>
          <w:szCs w:val="20"/>
        </w:rPr>
        <w:t xml:space="preserve"> of rank-3 and fewer selection</w:t>
      </w:r>
      <w:r w:rsidR="00A86618">
        <w:rPr>
          <w:rFonts w:eastAsia="微软雅黑"/>
          <w:sz w:val="20"/>
          <w:szCs w:val="20"/>
        </w:rPr>
        <w:t>s</w:t>
      </w:r>
      <w:r>
        <w:rPr>
          <w:rFonts w:eastAsia="微软雅黑"/>
          <w:sz w:val="20"/>
          <w:szCs w:val="20"/>
        </w:rPr>
        <w:t xml:space="preserve"> of rank-4. This causes the system performance loss shown in Fig. 1. The reason may be that UEs do not make full use of the rank-4 channel in most cases. Hence an artificial weighting among different layers may not be optimal to match the real channel, and may not bring positive impact on the performance. As average distribution is the statistical optimal solution when channel is unknown, non-uniform distribution may bring performance loss.</w:t>
      </w:r>
    </w:p>
    <w:p w:rsidR="00867347" w:rsidRDefault="009414C0">
      <w:pPr>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evaluation results, we have the following observation.</w:t>
      </w:r>
    </w:p>
    <w:p w:rsidR="00867347" w:rsidRDefault="009414C0">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A</w:t>
      </w:r>
      <w:r>
        <w:rPr>
          <w:rFonts w:eastAsia="微软雅黑"/>
          <w:i/>
          <w:sz w:val="20"/>
          <w:szCs w:val="20"/>
        </w:rPr>
        <w:t xml:space="preserve">lt 5C provides the best performance-overhead trade-off, and it’s also one of the simplest solutions. </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Adjusting L value i.e., Alt 3B, Alt 4A, Alt 4C, Alt 6C, for different ranks/layers causes </w:t>
      </w:r>
      <w:r>
        <w:rPr>
          <w:rFonts w:eastAsia="微软雅黑" w:hint="eastAsia"/>
          <w:i/>
          <w:sz w:val="20"/>
          <w:szCs w:val="20"/>
        </w:rPr>
        <w:t>significant</w:t>
      </w:r>
      <w:r>
        <w:rPr>
          <w:rFonts w:eastAsia="微软雅黑"/>
          <w:i/>
          <w:sz w:val="20"/>
          <w:szCs w:val="20"/>
        </w:rPr>
        <w:t xml:space="preserve"> performance loss compared to adjust</w:t>
      </w:r>
      <w:r>
        <w:rPr>
          <w:rFonts w:eastAsia="微软雅黑" w:hint="eastAsia"/>
          <w:i/>
          <w:sz w:val="20"/>
          <w:szCs w:val="20"/>
        </w:rPr>
        <w:t>ing</w:t>
      </w:r>
      <w:r>
        <w:rPr>
          <w:rFonts w:eastAsia="微软雅黑"/>
          <w:i/>
          <w:sz w:val="20"/>
          <w:szCs w:val="20"/>
        </w:rPr>
        <w:t xml:space="preserve"> p and </w:t>
      </w:r>
      <m:oMath>
        <m:r>
          <w:rPr>
            <w:rFonts w:ascii="Cambria Math" w:eastAsia="微软雅黑" w:hAnsi="Cambria Math"/>
            <w:sz w:val="20"/>
            <w:szCs w:val="20"/>
          </w:rPr>
          <m:t>β</m:t>
        </m:r>
      </m:oMath>
      <w:r>
        <w:rPr>
          <w:rFonts w:eastAsia="微软雅黑"/>
          <w:i/>
          <w:sz w:val="20"/>
          <w:szCs w:val="20"/>
        </w:rPr>
        <w:t>, although SD basis vectors are selected layer-specifically for these alternatives.</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T</w:t>
      </w:r>
      <w:r>
        <w:rPr>
          <w:rFonts w:eastAsia="微软雅黑"/>
          <w:i/>
          <w:sz w:val="20"/>
          <w:szCs w:val="20"/>
        </w:rPr>
        <w:t xml:space="preserve">he performance of adjusting p and </w:t>
      </w:r>
      <m:oMath>
        <m:r>
          <w:rPr>
            <w:rFonts w:ascii="Cambria Math" w:eastAsia="微软雅黑" w:hAnsi="Cambria Math"/>
            <w:sz w:val="20"/>
            <w:szCs w:val="20"/>
          </w:rPr>
          <m:t>β</m:t>
        </m:r>
      </m:oMath>
      <w:r>
        <w:rPr>
          <w:rFonts w:eastAsia="微软雅黑" w:hint="eastAsia"/>
          <w:i/>
          <w:sz w:val="20"/>
          <w:szCs w:val="20"/>
        </w:rPr>
        <w:t xml:space="preserve"> </w:t>
      </w:r>
      <w:r>
        <w:rPr>
          <w:rFonts w:eastAsia="微软雅黑"/>
          <w:i/>
          <w:sz w:val="20"/>
          <w:szCs w:val="20"/>
        </w:rPr>
        <w:t xml:space="preserve">is similar. However, to adjust p, i.e., Alt 5C, Alt 6E, brings more overhead reduction than to adjust </w:t>
      </w:r>
      <m:oMath>
        <m:r>
          <w:rPr>
            <w:rFonts w:ascii="Cambria Math" w:eastAsia="微软雅黑" w:hAnsi="Cambria Math"/>
            <w:sz w:val="20"/>
            <w:szCs w:val="20"/>
          </w:rPr>
          <m:t>β</m:t>
        </m:r>
      </m:oMath>
      <w:r>
        <w:rPr>
          <w:rFonts w:eastAsia="微软雅黑" w:hint="eastAsia"/>
          <w:i/>
          <w:sz w:val="20"/>
          <w:szCs w:val="20"/>
        </w:rPr>
        <w:t xml:space="preserve"> </w:t>
      </w:r>
      <w:r>
        <w:rPr>
          <w:rFonts w:eastAsia="微软雅黑"/>
          <w:i/>
          <w:sz w:val="20"/>
          <w:szCs w:val="20"/>
        </w:rPr>
        <w:t>(Alt 1), as reducing p also reduces the overhead for bitmap indication of non-zero coefficients.</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i/>
          <w:sz w:val="20"/>
          <w:szCs w:val="20"/>
        </w:rPr>
        <w:t>RI-common L/p/</w:t>
      </w:r>
      <m:oMath>
        <m:r>
          <w:rPr>
            <w:rFonts w:ascii="Cambria Math" w:eastAsia="微软雅黑" w:hAnsi="Cambria Math"/>
            <w:sz w:val="20"/>
            <w:szCs w:val="20"/>
          </w:rPr>
          <m:t>β</m:t>
        </m:r>
      </m:oMath>
      <w:r>
        <w:rPr>
          <w:rFonts w:eastAsia="微软雅黑" w:hint="eastAsia"/>
          <w:i/>
          <w:sz w:val="20"/>
          <w:szCs w:val="20"/>
        </w:rPr>
        <w:t xml:space="preserve"> </w:t>
      </w:r>
      <w:r>
        <w:rPr>
          <w:rFonts w:eastAsia="微软雅黑"/>
          <w:i/>
          <w:sz w:val="20"/>
          <w:szCs w:val="20"/>
        </w:rPr>
        <w:t>among RI</w:t>
      </w:r>
      <w:proofErr w:type="gramStart"/>
      <w:r>
        <w:rPr>
          <w:rFonts w:eastAsia="微软雅黑"/>
          <w:i/>
          <w:sz w:val="20"/>
          <w:szCs w:val="20"/>
        </w:rPr>
        <w:t>={</w:t>
      </w:r>
      <w:proofErr w:type="gramEnd"/>
      <w:r>
        <w:rPr>
          <w:rFonts w:eastAsia="微软雅黑"/>
          <w:i/>
          <w:sz w:val="20"/>
          <w:szCs w:val="20"/>
        </w:rPr>
        <w:t>1,2,3,4} (Alt 2B) causes larger overhead compared with others, as the overhead for the first two layers cannot be reduced.</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Layer-specific does not bring performance gain over layer-common configurations. In </w:t>
      </w:r>
      <w:r w:rsidR="00DA371C">
        <w:rPr>
          <w:rFonts w:eastAsia="微软雅黑"/>
          <w:i/>
          <w:sz w:val="20"/>
          <w:szCs w:val="20"/>
        </w:rPr>
        <w:t>most</w:t>
      </w:r>
      <w:r>
        <w:rPr>
          <w:rFonts w:eastAsia="微软雅黑"/>
          <w:i/>
          <w:sz w:val="20"/>
          <w:szCs w:val="20"/>
        </w:rPr>
        <w:t xml:space="preserve"> cases, it causes performance loss. Lay-specific configuration may cause negative impact to the system performance.</w:t>
      </w:r>
    </w:p>
    <w:p w:rsidR="00867347" w:rsidRDefault="009414C0">
      <w:pPr>
        <w:pStyle w:val="Heading1"/>
        <w:tabs>
          <w:tab w:val="clear" w:pos="432"/>
        </w:tabs>
        <w:snapToGrid w:val="0"/>
        <w:spacing w:beforeLines="50" w:before="120" w:afterLines="50" w:after="120"/>
        <w:ind w:left="431" w:hanging="431"/>
        <w:rPr>
          <w:sz w:val="28"/>
          <w:lang w:val="en-US"/>
        </w:rPr>
      </w:pPr>
      <w:r>
        <w:rPr>
          <w:sz w:val="28"/>
          <w:lang w:val="en-US"/>
        </w:rPr>
        <w:t>Conclusion</w:t>
      </w:r>
    </w:p>
    <w:p w:rsidR="00867347" w:rsidRDefault="009414C0">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perform evaluation to compare numerous alternative for higher rank extension of Type II compression codebook. We have the following observation based on the evaluation results.</w:t>
      </w:r>
    </w:p>
    <w:p w:rsidR="00867347" w:rsidRDefault="009414C0">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A</w:t>
      </w:r>
      <w:r>
        <w:rPr>
          <w:rFonts w:eastAsia="微软雅黑"/>
          <w:i/>
          <w:sz w:val="20"/>
          <w:szCs w:val="20"/>
        </w:rPr>
        <w:t xml:space="preserve">lt 5C provides the best performance-overhead trade-off, and it’s also one of the simplest solutions. </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Adjusting L value i.e., Alt 3B, Alt 4A, Alt 4C, Alt 6C, for different ranks/layers causes </w:t>
      </w:r>
      <w:r>
        <w:rPr>
          <w:rFonts w:eastAsia="微软雅黑" w:hint="eastAsia"/>
          <w:i/>
          <w:sz w:val="20"/>
          <w:szCs w:val="20"/>
        </w:rPr>
        <w:t>significant</w:t>
      </w:r>
      <w:r>
        <w:rPr>
          <w:rFonts w:eastAsia="微软雅黑"/>
          <w:i/>
          <w:sz w:val="20"/>
          <w:szCs w:val="20"/>
        </w:rPr>
        <w:t xml:space="preserve"> performance loss compared to adjust</w:t>
      </w:r>
      <w:r>
        <w:rPr>
          <w:rFonts w:eastAsia="微软雅黑" w:hint="eastAsia"/>
          <w:i/>
          <w:sz w:val="20"/>
          <w:szCs w:val="20"/>
        </w:rPr>
        <w:t>ing</w:t>
      </w:r>
      <w:r>
        <w:rPr>
          <w:rFonts w:eastAsia="微软雅黑"/>
          <w:i/>
          <w:sz w:val="20"/>
          <w:szCs w:val="20"/>
        </w:rPr>
        <w:t xml:space="preserve"> p and </w:t>
      </w:r>
      <m:oMath>
        <m:r>
          <w:rPr>
            <w:rFonts w:ascii="Cambria Math" w:eastAsia="微软雅黑" w:hAnsi="Cambria Math"/>
            <w:sz w:val="20"/>
            <w:szCs w:val="20"/>
          </w:rPr>
          <m:t>β</m:t>
        </m:r>
      </m:oMath>
      <w:r>
        <w:rPr>
          <w:rFonts w:eastAsia="微软雅黑"/>
          <w:i/>
          <w:sz w:val="20"/>
          <w:szCs w:val="20"/>
        </w:rPr>
        <w:t>, although SD basis vectors are selected layer-specifically for these alternatives.</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T</w:t>
      </w:r>
      <w:r>
        <w:rPr>
          <w:rFonts w:eastAsia="微软雅黑"/>
          <w:i/>
          <w:sz w:val="20"/>
          <w:szCs w:val="20"/>
        </w:rPr>
        <w:t xml:space="preserve">he performance of adjusting p and </w:t>
      </w:r>
      <m:oMath>
        <m:r>
          <w:rPr>
            <w:rFonts w:ascii="Cambria Math" w:eastAsia="微软雅黑" w:hAnsi="Cambria Math"/>
            <w:sz w:val="20"/>
            <w:szCs w:val="20"/>
          </w:rPr>
          <m:t>β</m:t>
        </m:r>
      </m:oMath>
      <w:r>
        <w:rPr>
          <w:rFonts w:eastAsia="微软雅黑" w:hint="eastAsia"/>
          <w:i/>
          <w:sz w:val="20"/>
          <w:szCs w:val="20"/>
        </w:rPr>
        <w:t xml:space="preserve"> </w:t>
      </w:r>
      <w:r>
        <w:rPr>
          <w:rFonts w:eastAsia="微软雅黑"/>
          <w:i/>
          <w:sz w:val="20"/>
          <w:szCs w:val="20"/>
        </w:rPr>
        <w:t xml:space="preserve">is similar. However, to adjust p, i.e., Alt 5C, Alt 6E, brings more overhead reduction than to adjust </w:t>
      </w:r>
      <m:oMath>
        <m:r>
          <w:rPr>
            <w:rFonts w:ascii="Cambria Math" w:eastAsia="微软雅黑" w:hAnsi="Cambria Math"/>
            <w:sz w:val="20"/>
            <w:szCs w:val="20"/>
          </w:rPr>
          <m:t>β</m:t>
        </m:r>
      </m:oMath>
      <w:r>
        <w:rPr>
          <w:rFonts w:eastAsia="微软雅黑" w:hint="eastAsia"/>
          <w:i/>
          <w:sz w:val="20"/>
          <w:szCs w:val="20"/>
        </w:rPr>
        <w:t xml:space="preserve"> </w:t>
      </w:r>
      <w:r>
        <w:rPr>
          <w:rFonts w:eastAsia="微软雅黑"/>
          <w:i/>
          <w:sz w:val="20"/>
          <w:szCs w:val="20"/>
        </w:rPr>
        <w:t>(Alt 1), as reducing p also reduces the overhead for bitmap indication of non-zero coefficients.</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i/>
          <w:sz w:val="20"/>
          <w:szCs w:val="20"/>
        </w:rPr>
        <w:lastRenderedPageBreak/>
        <w:t>RI-common L/p/</w:t>
      </w:r>
      <m:oMath>
        <m:r>
          <w:rPr>
            <w:rFonts w:ascii="Cambria Math" w:eastAsia="微软雅黑" w:hAnsi="Cambria Math"/>
            <w:sz w:val="20"/>
            <w:szCs w:val="20"/>
          </w:rPr>
          <m:t>β</m:t>
        </m:r>
      </m:oMath>
      <w:r>
        <w:rPr>
          <w:rFonts w:eastAsia="微软雅黑" w:hint="eastAsia"/>
          <w:i/>
          <w:sz w:val="20"/>
          <w:szCs w:val="20"/>
        </w:rPr>
        <w:t xml:space="preserve"> </w:t>
      </w:r>
      <w:r>
        <w:rPr>
          <w:rFonts w:eastAsia="微软雅黑"/>
          <w:i/>
          <w:sz w:val="20"/>
          <w:szCs w:val="20"/>
        </w:rPr>
        <w:t>among RI</w:t>
      </w:r>
      <w:proofErr w:type="gramStart"/>
      <w:r>
        <w:rPr>
          <w:rFonts w:eastAsia="微软雅黑"/>
          <w:i/>
          <w:sz w:val="20"/>
          <w:szCs w:val="20"/>
        </w:rPr>
        <w:t>={</w:t>
      </w:r>
      <w:proofErr w:type="gramEnd"/>
      <w:r>
        <w:rPr>
          <w:rFonts w:eastAsia="微软雅黑"/>
          <w:i/>
          <w:sz w:val="20"/>
          <w:szCs w:val="20"/>
        </w:rPr>
        <w:t>1,2,3,4} (Alt 2B) causes larger overhead compared with others, as the overhead for the first two layers cannot be reduced.</w:t>
      </w:r>
    </w:p>
    <w:p w:rsidR="00867347" w:rsidRDefault="009414C0">
      <w:pPr>
        <w:pStyle w:val="ListParagraph2"/>
        <w:numPr>
          <w:ilvl w:val="0"/>
          <w:numId w:val="7"/>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Layer-specific does not bring performance gain over layer-common configurations. In </w:t>
      </w:r>
      <w:r w:rsidR="00B77DC3">
        <w:rPr>
          <w:rFonts w:eastAsia="微软雅黑"/>
          <w:i/>
          <w:sz w:val="20"/>
          <w:szCs w:val="20"/>
        </w:rPr>
        <w:t>most</w:t>
      </w:r>
      <w:r>
        <w:rPr>
          <w:rFonts w:eastAsia="微软雅黑"/>
          <w:i/>
          <w:sz w:val="20"/>
          <w:szCs w:val="20"/>
        </w:rPr>
        <w:t xml:space="preserve"> cases, it causes performance loss. Lay-specific configuration may cause negative impact to the system performance.</w:t>
      </w:r>
    </w:p>
    <w:p w:rsidR="00867347" w:rsidRDefault="009414C0">
      <w:pPr>
        <w:pStyle w:val="Heading1"/>
        <w:tabs>
          <w:tab w:val="clear" w:pos="432"/>
        </w:tabs>
        <w:snapToGrid w:val="0"/>
        <w:spacing w:beforeLines="50" w:before="120" w:afterLines="50" w:after="120"/>
        <w:ind w:left="431" w:hanging="431"/>
        <w:rPr>
          <w:sz w:val="28"/>
          <w:lang w:val="en-US"/>
        </w:rPr>
      </w:pPr>
      <w:r>
        <w:rPr>
          <w:sz w:val="28"/>
          <w:lang w:val="en-US"/>
        </w:rPr>
        <w:t xml:space="preserve">References </w:t>
      </w:r>
    </w:p>
    <w:p w:rsidR="00867347" w:rsidRDefault="009414C0">
      <w:pPr>
        <w:pStyle w:val="NoSpacing1"/>
        <w:snapToGrid w:val="0"/>
        <w:rPr>
          <w:bCs/>
          <w:sz w:val="20"/>
          <w:szCs w:val="20"/>
        </w:rPr>
      </w:pPr>
      <w:r>
        <w:rPr>
          <w:bCs/>
          <w:sz w:val="20"/>
          <w:szCs w:val="20"/>
        </w:rPr>
        <w:t>[1] Chairman’s notes, RAN1#96</w:t>
      </w:r>
    </w:p>
    <w:p w:rsidR="00867347" w:rsidRDefault="009414C0">
      <w:pPr>
        <w:pStyle w:val="NoSpacing1"/>
        <w:snapToGrid w:val="0"/>
        <w:rPr>
          <w:bCs/>
          <w:sz w:val="20"/>
          <w:szCs w:val="20"/>
        </w:rPr>
      </w:pPr>
      <w:r>
        <w:rPr>
          <w:bCs/>
          <w:sz w:val="20"/>
          <w:szCs w:val="20"/>
        </w:rPr>
        <w:t xml:space="preserve">[2] </w:t>
      </w:r>
      <w:r>
        <w:rPr>
          <w:rFonts w:hint="eastAsia"/>
          <w:bCs/>
          <w:sz w:val="20"/>
          <w:szCs w:val="20"/>
        </w:rPr>
        <w:t>R</w:t>
      </w:r>
      <w:r>
        <w:rPr>
          <w:bCs/>
          <w:sz w:val="20"/>
          <w:szCs w:val="20"/>
        </w:rPr>
        <w:t>1-1904012, CSI enhancement for MU-MIMO support, ZTE</w:t>
      </w:r>
    </w:p>
    <w:p w:rsidR="00867347" w:rsidRDefault="009414C0">
      <w:pPr>
        <w:pStyle w:val="NoSpacing1"/>
        <w:snapToGrid w:val="0"/>
        <w:rPr>
          <w:bCs/>
          <w:sz w:val="20"/>
          <w:szCs w:val="20"/>
        </w:rPr>
      </w:pPr>
      <w:r>
        <w:rPr>
          <w:bCs/>
          <w:sz w:val="20"/>
          <w:szCs w:val="20"/>
        </w:rPr>
        <w:t xml:space="preserve">[3] Email discussion [96-NR-08] </w:t>
      </w:r>
      <w:proofErr w:type="spellStart"/>
      <w:r>
        <w:rPr>
          <w:bCs/>
          <w:sz w:val="20"/>
          <w:szCs w:val="20"/>
        </w:rPr>
        <w:t>eNR</w:t>
      </w:r>
      <w:proofErr w:type="spellEnd"/>
      <w:r>
        <w:rPr>
          <w:bCs/>
          <w:sz w:val="20"/>
          <w:szCs w:val="20"/>
        </w:rPr>
        <w:t>-MIMO MU-CSI: (</w:t>
      </w:r>
      <w:proofErr w:type="spellStart"/>
      <w:r>
        <w:rPr>
          <w:bCs/>
          <w:sz w:val="20"/>
          <w:szCs w:val="20"/>
        </w:rPr>
        <w:t>L</w:t>
      </w:r>
      <w:proofErr w:type="gramStart"/>
      <w:r>
        <w:rPr>
          <w:bCs/>
          <w:sz w:val="20"/>
          <w:szCs w:val="20"/>
        </w:rPr>
        <w:t>,p</w:t>
      </w:r>
      <w:proofErr w:type="spellEnd"/>
      <w:proofErr w:type="gramEnd"/>
      <w:r>
        <w:rPr>
          <w:bCs/>
          <w:sz w:val="20"/>
          <w:szCs w:val="20"/>
        </w:rPr>
        <w:t>) setting for RI=3-4 extension</w:t>
      </w:r>
    </w:p>
    <w:p w:rsidR="00867347" w:rsidRDefault="009414C0">
      <w:pPr>
        <w:pStyle w:val="Heading1"/>
        <w:tabs>
          <w:tab w:val="clear" w:pos="432"/>
        </w:tabs>
        <w:snapToGrid w:val="0"/>
        <w:spacing w:beforeLines="50" w:before="120" w:afterLines="50" w:after="120"/>
        <w:ind w:left="431" w:hanging="431"/>
        <w:rPr>
          <w:sz w:val="28"/>
          <w:lang w:val="en-US"/>
        </w:rPr>
      </w:pPr>
      <w:r>
        <w:rPr>
          <w:rFonts w:hint="eastAsia"/>
          <w:sz w:val="28"/>
          <w:lang w:val="en-US"/>
        </w:rPr>
        <w:t>Appendix</w:t>
      </w:r>
    </w:p>
    <w:p w:rsidR="00867347" w:rsidRDefault="009414C0">
      <w:pPr>
        <w:snapToGrid w:val="0"/>
        <w:spacing w:before="120" w:afterLines="50" w:after="120" w:line="240" w:lineRule="auto"/>
        <w:jc w:val="center"/>
        <w:rPr>
          <w:rFonts w:eastAsia="微软雅黑"/>
          <w:sz w:val="20"/>
          <w:szCs w:val="20"/>
        </w:rPr>
      </w:pPr>
      <w:r>
        <w:rPr>
          <w:rFonts w:eastAsia="微软雅黑" w:hint="eastAsia"/>
          <w:sz w:val="20"/>
          <w:szCs w:val="20"/>
        </w:rPr>
        <w:t>Table 6.1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867347">
        <w:trPr>
          <w:tblCellSpacing w:w="0" w:type="dxa"/>
          <w:jc w:val="center"/>
        </w:trPr>
        <w:tc>
          <w:tcPr>
            <w:tcW w:w="7605" w:type="dxa"/>
            <w:gridSpan w:val="2"/>
            <w:shd w:val="clear" w:color="auto" w:fill="C5E0B3" w:themeFill="accent6" w:themeFillTint="66"/>
            <w:vAlign w:val="center"/>
          </w:tcPr>
          <w:p w:rsidR="00867347" w:rsidRDefault="009414C0">
            <w:pPr>
              <w:pStyle w:val="1"/>
              <w:rPr>
                <w:rFonts w:eastAsia="Malgun Gothic"/>
                <w:sz w:val="20"/>
                <w:szCs w:val="20"/>
                <w:lang w:val="sv-SE"/>
              </w:rPr>
            </w:pPr>
            <w:r>
              <w:rPr>
                <w:rFonts w:eastAsia="Malgun Gothic"/>
                <w:sz w:val="20"/>
                <w:szCs w:val="20"/>
                <w:lang w:val="sv-SE"/>
              </w:rPr>
              <w:t>System level simulation parameters</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Scenarios</w:t>
            </w:r>
          </w:p>
        </w:tc>
        <w:tc>
          <w:tcPr>
            <w:tcW w:w="4836" w:type="dxa"/>
            <w:vAlign w:val="center"/>
          </w:tcPr>
          <w:p w:rsidR="00867347" w:rsidRDefault="009414C0">
            <w:pPr>
              <w:pStyle w:val="1"/>
              <w:rPr>
                <w:rFonts w:eastAsia="Malgun Gothic"/>
                <w:sz w:val="20"/>
                <w:szCs w:val="20"/>
              </w:rPr>
            </w:pPr>
            <w:r>
              <w:rPr>
                <w:rFonts w:eastAsia="Malgun Gothic"/>
                <w:sz w:val="20"/>
                <w:szCs w:val="20"/>
              </w:rPr>
              <w:t xml:space="preserve">TR38.901: </w:t>
            </w:r>
            <w:r>
              <w:rPr>
                <w:rFonts w:eastAsia="Malgun Gothic"/>
                <w:sz w:val="20"/>
                <w:szCs w:val="20"/>
                <w:lang w:val="sv-SE"/>
              </w:rPr>
              <w:t>3D-Uma</w:t>
            </w:r>
            <w:r>
              <w:rPr>
                <w:rFonts w:asciiTheme="minorEastAsia" w:eastAsiaTheme="minorEastAsia" w:hAnsiTheme="minorEastAsia" w:hint="eastAsia"/>
                <w:sz w:val="20"/>
                <w:szCs w:val="20"/>
                <w:lang w:val="sv-SE"/>
              </w:rPr>
              <w:t xml:space="preserve"> </w:t>
            </w:r>
            <w:r>
              <w:rPr>
                <w:rFonts w:eastAsia="Malgun Gothic"/>
                <w:sz w:val="20"/>
                <w:szCs w:val="20"/>
                <w:lang w:val="sv-SE"/>
              </w:rPr>
              <w:t>(200m) for overhead reduction; 3D-Umi for higher rank support</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lang w:eastAsia="ja-JP"/>
              </w:rPr>
              <w:t xml:space="preserve">Carrier frequency </w:t>
            </w:r>
          </w:p>
        </w:tc>
        <w:tc>
          <w:tcPr>
            <w:tcW w:w="4836" w:type="dxa"/>
            <w:vAlign w:val="center"/>
          </w:tcPr>
          <w:p w:rsidR="00867347" w:rsidRDefault="009414C0">
            <w:pPr>
              <w:pStyle w:val="1"/>
              <w:rPr>
                <w:rFonts w:eastAsia="Malgun Gothic"/>
                <w:sz w:val="20"/>
                <w:szCs w:val="20"/>
              </w:rPr>
            </w:pPr>
            <w:r>
              <w:rPr>
                <w:rFonts w:eastAsia="Malgun Gothic"/>
                <w:sz w:val="20"/>
                <w:szCs w:val="20"/>
              </w:rPr>
              <w:t>4 GHz</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lang w:eastAsia="ja-JP"/>
              </w:rPr>
              <w:t>Simulation bandwidth</w:t>
            </w:r>
          </w:p>
        </w:tc>
        <w:tc>
          <w:tcPr>
            <w:tcW w:w="4836" w:type="dxa"/>
            <w:vAlign w:val="center"/>
          </w:tcPr>
          <w:p w:rsidR="00867347" w:rsidRDefault="009414C0">
            <w:pPr>
              <w:pStyle w:val="1"/>
              <w:rPr>
                <w:rFonts w:eastAsia="Malgun Gothic"/>
                <w:sz w:val="20"/>
                <w:szCs w:val="20"/>
              </w:rPr>
            </w:pPr>
            <w:r>
              <w:rPr>
                <w:rFonts w:eastAsia="Malgun Gothic"/>
                <w:sz w:val="20"/>
                <w:szCs w:val="20"/>
              </w:rPr>
              <w:t xml:space="preserve">DL 10 MHz unless specified </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SCS</w:t>
            </w:r>
          </w:p>
        </w:tc>
        <w:tc>
          <w:tcPr>
            <w:tcW w:w="4836" w:type="dxa"/>
            <w:vAlign w:val="center"/>
          </w:tcPr>
          <w:p w:rsidR="00867347" w:rsidRDefault="009414C0">
            <w:pPr>
              <w:pStyle w:val="1"/>
              <w:rPr>
                <w:rFonts w:eastAsia="Malgun Gothic"/>
                <w:sz w:val="20"/>
                <w:szCs w:val="20"/>
              </w:rPr>
            </w:pPr>
            <w:r>
              <w:rPr>
                <w:rFonts w:eastAsia="Malgun Gothic"/>
                <w:sz w:val="20"/>
                <w:szCs w:val="20"/>
              </w:rPr>
              <w:t xml:space="preserve">15KHz unless specified </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Antenna Spacing</w:t>
            </w:r>
          </w:p>
        </w:tc>
        <w:tc>
          <w:tcPr>
            <w:tcW w:w="4836" w:type="dxa"/>
            <w:vAlign w:val="center"/>
          </w:tcPr>
          <w:p w:rsidR="00867347" w:rsidRDefault="009414C0">
            <w:pPr>
              <w:pStyle w:val="1"/>
              <w:rPr>
                <w:rFonts w:eastAsia="Malgun Gothic"/>
                <w:sz w:val="20"/>
                <w:szCs w:val="20"/>
              </w:rPr>
            </w:pPr>
            <w:r>
              <w:rPr>
                <w:rFonts w:eastAsia="Malgun Gothic"/>
                <w:sz w:val="20"/>
                <w:szCs w:val="20"/>
                <w:lang w:val="el-GR"/>
              </w:rPr>
              <w:t>(dV,dH)=(</w:t>
            </w:r>
            <w:r>
              <w:rPr>
                <w:rFonts w:eastAsia="Malgun Gothic"/>
                <w:sz w:val="20"/>
                <w:szCs w:val="20"/>
                <w:lang w:eastAsia="ko-KR"/>
              </w:rPr>
              <w:t xml:space="preserve"> 0.</w:t>
            </w:r>
            <w:r>
              <w:rPr>
                <w:rFonts w:eastAsia="Malgun Gothic"/>
                <w:sz w:val="20"/>
                <w:szCs w:val="20"/>
                <w:lang w:eastAsia="ja-JP"/>
              </w:rPr>
              <w:t>8</w:t>
            </w:r>
            <w:r>
              <w:rPr>
                <w:rFonts w:eastAsia="Malgun Gothic"/>
                <w:sz w:val="20"/>
                <w:szCs w:val="20"/>
              </w:rPr>
              <w:t>λ</w:t>
            </w:r>
            <w:r>
              <w:rPr>
                <w:rFonts w:eastAsia="Malgun Gothic"/>
                <w:sz w:val="20"/>
                <w:szCs w:val="20"/>
                <w:lang w:eastAsia="ko-KR"/>
              </w:rPr>
              <w:t>, 0.</w:t>
            </w:r>
            <w:r>
              <w:rPr>
                <w:rFonts w:eastAsia="Malgun Gothic"/>
                <w:sz w:val="20"/>
                <w:szCs w:val="20"/>
              </w:rPr>
              <w:t>5λ</w:t>
            </w:r>
            <w:r>
              <w:rPr>
                <w:rFonts w:eastAsia="Malgun Gothic"/>
                <w:sz w:val="20"/>
                <w:szCs w:val="20"/>
                <w:lang w:val="el-GR"/>
              </w:rPr>
              <w:t>)</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 xml:space="preserve">NB </w:t>
            </w:r>
            <w:r>
              <w:rPr>
                <w:rFonts w:eastAsia="Malgun Gothic"/>
                <w:sz w:val="20"/>
                <w:szCs w:val="20"/>
                <w:lang w:eastAsia="ja-JP"/>
              </w:rPr>
              <w:t>antenna configurations</w:t>
            </w:r>
          </w:p>
        </w:tc>
        <w:tc>
          <w:tcPr>
            <w:tcW w:w="4836" w:type="dxa"/>
            <w:vAlign w:val="center"/>
          </w:tcPr>
          <w:p w:rsidR="00867347" w:rsidRDefault="009414C0">
            <w:pPr>
              <w:pStyle w:val="1"/>
              <w:rPr>
                <w:rFonts w:eastAsia="Malgun Gothic"/>
                <w:sz w:val="20"/>
                <w:szCs w:val="20"/>
              </w:rPr>
            </w:pPr>
            <w:r>
              <w:rPr>
                <w:rFonts w:eastAsia="Malgun Gothic"/>
                <w:sz w:val="20"/>
                <w:szCs w:val="20"/>
              </w:rPr>
              <w:t>32 ports:</w:t>
            </w:r>
          </w:p>
          <w:p w:rsidR="00867347" w:rsidRDefault="009414C0">
            <w:pPr>
              <w:pStyle w:val="1"/>
              <w:rPr>
                <w:rFonts w:eastAsia="Malgun Gothic"/>
                <w:sz w:val="20"/>
                <w:szCs w:val="20"/>
              </w:rPr>
            </w:pPr>
            <w:r>
              <w:rPr>
                <w:rFonts w:eastAsia="Malgun Gothic"/>
                <w:sz w:val="20"/>
                <w:szCs w:val="20"/>
              </w:rPr>
              <w:t>(MTXRU, NTXRU, P) = (2, 8, 2)</w:t>
            </w:r>
          </w:p>
          <w:p w:rsidR="00867347" w:rsidRDefault="009414C0">
            <w:pPr>
              <w:pStyle w:val="1"/>
              <w:rPr>
                <w:rFonts w:eastAsia="Malgun Gothic"/>
                <w:sz w:val="20"/>
                <w:szCs w:val="20"/>
              </w:rPr>
            </w:pPr>
            <w:r>
              <w:rPr>
                <w:rFonts w:eastAsia="Malgun Gothic"/>
                <w:sz w:val="20"/>
                <w:szCs w:val="20"/>
              </w:rPr>
              <w:t>(</w:t>
            </w:r>
            <w:proofErr w:type="spellStart"/>
            <w:r>
              <w:rPr>
                <w:rFonts w:eastAsia="Malgun Gothic"/>
                <w:sz w:val="20"/>
                <w:szCs w:val="20"/>
                <w:lang w:eastAsia="ja-JP"/>
              </w:rPr>
              <w:t>M,N,P,Mg,Ng</w:t>
            </w:r>
            <w:proofErr w:type="spellEnd"/>
            <w:r>
              <w:rPr>
                <w:rFonts w:eastAsia="Malgun Gothic"/>
                <w:sz w:val="20"/>
                <w:szCs w:val="20"/>
              </w:rPr>
              <w:t>)= (8,8,2,1,1)</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 xml:space="preserve">UE </w:t>
            </w:r>
            <w:r>
              <w:rPr>
                <w:rFonts w:eastAsia="Malgun Gothic"/>
                <w:sz w:val="20"/>
                <w:szCs w:val="20"/>
                <w:lang w:eastAsia="ja-JP"/>
              </w:rPr>
              <w:t>antenna configurations</w:t>
            </w:r>
          </w:p>
        </w:tc>
        <w:tc>
          <w:tcPr>
            <w:tcW w:w="4836" w:type="dxa"/>
            <w:vAlign w:val="center"/>
          </w:tcPr>
          <w:p w:rsidR="00867347" w:rsidRDefault="009414C0">
            <w:pPr>
              <w:pStyle w:val="1"/>
              <w:rPr>
                <w:rFonts w:eastAsia="Malgun Gothic"/>
                <w:sz w:val="20"/>
                <w:szCs w:val="20"/>
              </w:rPr>
            </w:pPr>
            <w:r>
              <w:rPr>
                <w:rFonts w:eastAsia="Malgun Gothic"/>
                <w:sz w:val="20"/>
                <w:szCs w:val="20"/>
              </w:rPr>
              <w:t xml:space="preserve"> </w:t>
            </w:r>
            <w:r>
              <w:rPr>
                <w:rFonts w:eastAsia="Malgun Gothic"/>
                <w:sz w:val="20"/>
                <w:szCs w:val="20"/>
                <w:lang w:eastAsia="ja-JP"/>
              </w:rPr>
              <w:t>Isotropic antenna gain pattern</w:t>
            </w:r>
            <w:r>
              <w:rPr>
                <w:rFonts w:eastAsia="Malgun Gothic"/>
                <w:sz w:val="20"/>
                <w:szCs w:val="20"/>
              </w:rPr>
              <w:t>:</w:t>
            </w:r>
          </w:p>
          <w:p w:rsidR="00867347" w:rsidRDefault="009414C0">
            <w:pPr>
              <w:pStyle w:val="1"/>
              <w:rPr>
                <w:rFonts w:eastAsia="Malgun Gothic"/>
                <w:sz w:val="20"/>
                <w:szCs w:val="20"/>
              </w:rPr>
            </w:pPr>
            <w:r>
              <w:rPr>
                <w:rFonts w:eastAsia="Malgun Gothic"/>
                <w:sz w:val="20"/>
                <w:szCs w:val="20"/>
              </w:rPr>
              <w:t>(M, N, P) = (1, 1, 2) or  (1, 2, 2)</w:t>
            </w:r>
          </w:p>
        </w:tc>
      </w:tr>
      <w:tr w:rsidR="00867347">
        <w:trPr>
          <w:tblCellSpacing w:w="0" w:type="dxa"/>
          <w:jc w:val="center"/>
        </w:trPr>
        <w:tc>
          <w:tcPr>
            <w:tcW w:w="2769" w:type="dxa"/>
            <w:vAlign w:val="center"/>
          </w:tcPr>
          <w:p w:rsidR="00867347" w:rsidRDefault="009414C0">
            <w:pPr>
              <w:pStyle w:val="1"/>
              <w:rPr>
                <w:sz w:val="20"/>
                <w:szCs w:val="20"/>
              </w:rPr>
            </w:pPr>
            <w:r>
              <w:rPr>
                <w:sz w:val="20"/>
                <w:szCs w:val="20"/>
              </w:rPr>
              <w:t>Transmission scheme</w:t>
            </w:r>
          </w:p>
        </w:tc>
        <w:tc>
          <w:tcPr>
            <w:tcW w:w="4836" w:type="dxa"/>
            <w:vAlign w:val="center"/>
          </w:tcPr>
          <w:p w:rsidR="00867347" w:rsidRDefault="009414C0">
            <w:pPr>
              <w:pStyle w:val="1"/>
              <w:rPr>
                <w:sz w:val="20"/>
                <w:szCs w:val="20"/>
              </w:rPr>
            </w:pPr>
            <w:r>
              <w:rPr>
                <w:sz w:val="20"/>
                <w:szCs w:val="20"/>
              </w:rPr>
              <w:t>SU/MU-MIMO adaption with max rank 2/4, total 4/8 layers</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Traffic model</w:t>
            </w:r>
          </w:p>
        </w:tc>
        <w:tc>
          <w:tcPr>
            <w:tcW w:w="4836" w:type="dxa"/>
            <w:vAlign w:val="center"/>
          </w:tcPr>
          <w:p w:rsidR="00867347" w:rsidRDefault="009414C0">
            <w:pPr>
              <w:pStyle w:val="1"/>
              <w:rPr>
                <w:rFonts w:eastAsia="Malgun Gothic"/>
                <w:sz w:val="20"/>
                <w:szCs w:val="20"/>
                <w:lang w:val="sv-SE"/>
              </w:rPr>
            </w:pPr>
            <w:r>
              <w:rPr>
                <w:rFonts w:eastAsia="Malgun Gothic"/>
                <w:sz w:val="20"/>
                <w:szCs w:val="20"/>
                <w:lang w:val="sv-SE"/>
              </w:rPr>
              <w:t xml:space="preserve">FTP </w:t>
            </w:r>
            <w:r>
              <w:rPr>
                <w:rFonts w:eastAsia="Malgun Gothic"/>
                <w:sz w:val="20"/>
                <w:szCs w:val="20"/>
              </w:rPr>
              <w:t>3</w:t>
            </w:r>
            <w:r>
              <w:rPr>
                <w:rFonts w:eastAsia="Malgun Gothic"/>
                <w:sz w:val="20"/>
                <w:szCs w:val="20"/>
                <w:lang w:val="sv-SE"/>
              </w:rPr>
              <w:t xml:space="preserve"> with packet size 0.5M byte</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CSI-RS</w:t>
            </w:r>
          </w:p>
        </w:tc>
        <w:tc>
          <w:tcPr>
            <w:tcW w:w="4836" w:type="dxa"/>
            <w:vAlign w:val="center"/>
          </w:tcPr>
          <w:p w:rsidR="00867347" w:rsidRDefault="009414C0">
            <w:pPr>
              <w:pStyle w:val="1"/>
              <w:rPr>
                <w:rFonts w:eastAsia="Malgun Gothic"/>
                <w:sz w:val="20"/>
                <w:szCs w:val="20"/>
              </w:rPr>
            </w:pPr>
            <w:r>
              <w:rPr>
                <w:rFonts w:eastAsia="Malgun Gothic"/>
                <w:sz w:val="20"/>
                <w:szCs w:val="20"/>
              </w:rPr>
              <w:t xml:space="preserve">Period is 5 </w:t>
            </w:r>
            <w:proofErr w:type="spellStart"/>
            <w:r>
              <w:rPr>
                <w:rFonts w:eastAsia="Malgun Gothic"/>
                <w:sz w:val="20"/>
                <w:szCs w:val="20"/>
              </w:rPr>
              <w:t>ms</w:t>
            </w:r>
            <w:proofErr w:type="spellEnd"/>
            <w:r>
              <w:rPr>
                <w:rFonts w:eastAsia="Malgun Gothic"/>
                <w:sz w:val="20"/>
                <w:szCs w:val="20"/>
              </w:rPr>
              <w:t xml:space="preserve"> and overhead is accounted.  </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Delay for scheduling and AMC</w:t>
            </w:r>
          </w:p>
        </w:tc>
        <w:tc>
          <w:tcPr>
            <w:tcW w:w="4836" w:type="dxa"/>
            <w:vAlign w:val="center"/>
          </w:tcPr>
          <w:p w:rsidR="00867347" w:rsidRDefault="009414C0">
            <w:pPr>
              <w:pStyle w:val="1"/>
              <w:rPr>
                <w:rFonts w:eastAsia="Malgun Gothic"/>
                <w:sz w:val="20"/>
                <w:szCs w:val="20"/>
                <w:lang w:eastAsia="zh-TW"/>
              </w:rPr>
            </w:pPr>
            <w:r>
              <w:rPr>
                <w:rFonts w:eastAsia="Malgun Gothic"/>
                <w:sz w:val="20"/>
                <w:szCs w:val="20"/>
              </w:rPr>
              <w:t>4ms</w:t>
            </w:r>
          </w:p>
        </w:tc>
      </w:tr>
      <w:tr w:rsidR="00867347">
        <w:trPr>
          <w:tblCellSpacing w:w="0" w:type="dxa"/>
          <w:jc w:val="center"/>
        </w:trPr>
        <w:tc>
          <w:tcPr>
            <w:tcW w:w="2769" w:type="dxa"/>
            <w:vAlign w:val="center"/>
          </w:tcPr>
          <w:p w:rsidR="00867347" w:rsidRDefault="009414C0">
            <w:pPr>
              <w:pStyle w:val="1"/>
              <w:rPr>
                <w:rFonts w:eastAsiaTheme="minorEastAsia"/>
                <w:sz w:val="20"/>
                <w:szCs w:val="20"/>
              </w:rPr>
            </w:pPr>
            <w:r>
              <w:rPr>
                <w:rFonts w:eastAsiaTheme="minorEastAsia" w:hint="eastAsia"/>
                <w:sz w:val="20"/>
                <w:szCs w:val="20"/>
              </w:rPr>
              <w:t>Scheduler</w:t>
            </w:r>
          </w:p>
        </w:tc>
        <w:tc>
          <w:tcPr>
            <w:tcW w:w="4836" w:type="dxa"/>
            <w:vAlign w:val="center"/>
          </w:tcPr>
          <w:p w:rsidR="00867347" w:rsidRDefault="009414C0">
            <w:pPr>
              <w:pStyle w:val="1"/>
              <w:rPr>
                <w:rFonts w:eastAsiaTheme="minorEastAsia"/>
                <w:sz w:val="20"/>
                <w:szCs w:val="20"/>
              </w:rPr>
            </w:pPr>
            <w:r>
              <w:rPr>
                <w:rFonts w:eastAsiaTheme="minorEastAsia" w:hint="eastAsia"/>
                <w:sz w:val="20"/>
                <w:szCs w:val="20"/>
              </w:rPr>
              <w:t>PF</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Receiver</w:t>
            </w:r>
          </w:p>
        </w:tc>
        <w:tc>
          <w:tcPr>
            <w:tcW w:w="4836" w:type="dxa"/>
            <w:vAlign w:val="center"/>
          </w:tcPr>
          <w:p w:rsidR="00867347" w:rsidRDefault="009414C0">
            <w:pPr>
              <w:pStyle w:val="1"/>
              <w:rPr>
                <w:rFonts w:eastAsia="Malgun Gothic"/>
                <w:sz w:val="20"/>
                <w:szCs w:val="20"/>
              </w:rPr>
            </w:pPr>
            <w:r>
              <w:rPr>
                <w:rFonts w:eastAsia="Malgun Gothic"/>
                <w:sz w:val="20"/>
                <w:szCs w:val="20"/>
              </w:rPr>
              <w:t>MMSE-IRC</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HARQ Scheme</w:t>
            </w:r>
          </w:p>
        </w:tc>
        <w:tc>
          <w:tcPr>
            <w:tcW w:w="4836" w:type="dxa"/>
            <w:vAlign w:val="center"/>
          </w:tcPr>
          <w:p w:rsidR="00867347" w:rsidRDefault="009414C0">
            <w:pPr>
              <w:pStyle w:val="1"/>
              <w:rPr>
                <w:rFonts w:eastAsia="Malgun Gothic"/>
                <w:sz w:val="20"/>
                <w:szCs w:val="20"/>
              </w:rPr>
            </w:pPr>
            <w:r>
              <w:rPr>
                <w:rFonts w:eastAsia="Malgun Gothic"/>
                <w:sz w:val="20"/>
                <w:szCs w:val="20"/>
              </w:rPr>
              <w:t>Chase Combining</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Feedback Assumption</w:t>
            </w:r>
          </w:p>
        </w:tc>
        <w:tc>
          <w:tcPr>
            <w:tcW w:w="4836" w:type="dxa"/>
            <w:vAlign w:val="center"/>
          </w:tcPr>
          <w:p w:rsidR="00867347" w:rsidRDefault="009414C0">
            <w:pPr>
              <w:pStyle w:val="1"/>
              <w:rPr>
                <w:rFonts w:eastAsia="Malgun Gothic"/>
                <w:sz w:val="20"/>
                <w:szCs w:val="20"/>
              </w:rPr>
            </w:pPr>
            <w:r>
              <w:rPr>
                <w:rFonts w:eastAsia="Malgun Gothic"/>
                <w:sz w:val="20"/>
                <w:szCs w:val="20"/>
              </w:rPr>
              <w:t xml:space="preserve">Non-ideal modeling of channel estimation, with error modeling </w:t>
            </w:r>
            <w:r>
              <w:rPr>
                <w:position w:val="-14"/>
                <w:szCs w:val="20"/>
              </w:rPr>
              <w:object w:dxaOrig="1217" w:dyaOrig="331">
                <v:shape id="_x0000_i1027" type="#_x0000_t75" style="width:60.85pt;height:16.55pt" o:ole="">
                  <v:imagedata r:id="rId13" o:title=""/>
                </v:shape>
                <o:OLEObject Type="Embed" ProgID="Equation.DSMT4" ShapeID="_x0000_i1027" DrawAspect="Content" ObjectID="_1615398879" r:id="rId14"/>
              </w:object>
            </w:r>
            <w:r>
              <w:rPr>
                <w:rFonts w:eastAsia="Malgun Gothic"/>
                <w:sz w:val="20"/>
                <w:szCs w:val="20"/>
              </w:rPr>
              <w:t>is used.</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 xml:space="preserve">Handover margin </w:t>
            </w:r>
          </w:p>
        </w:tc>
        <w:tc>
          <w:tcPr>
            <w:tcW w:w="4836" w:type="dxa"/>
            <w:vAlign w:val="center"/>
          </w:tcPr>
          <w:p w:rsidR="00867347" w:rsidRDefault="009414C0">
            <w:pPr>
              <w:pStyle w:val="1"/>
              <w:rPr>
                <w:rFonts w:eastAsia="Malgun Gothic"/>
                <w:sz w:val="20"/>
                <w:szCs w:val="20"/>
              </w:rPr>
            </w:pPr>
            <w:r>
              <w:rPr>
                <w:rFonts w:eastAsia="Malgun Gothic"/>
                <w:sz w:val="20"/>
                <w:szCs w:val="20"/>
              </w:rPr>
              <w:t xml:space="preserve">3dB </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rFonts w:eastAsia="Malgun Gothic"/>
                <w:sz w:val="20"/>
                <w:szCs w:val="20"/>
              </w:rPr>
              <w:t>DL Overhead  calculation</w:t>
            </w:r>
          </w:p>
        </w:tc>
        <w:tc>
          <w:tcPr>
            <w:tcW w:w="4836" w:type="dxa"/>
            <w:vAlign w:val="center"/>
          </w:tcPr>
          <w:p w:rsidR="00867347" w:rsidRDefault="009414C0">
            <w:pPr>
              <w:pStyle w:val="1"/>
              <w:rPr>
                <w:rFonts w:eastAsia="Malgun Gothic"/>
                <w:sz w:val="20"/>
                <w:szCs w:val="20"/>
              </w:rPr>
            </w:pPr>
            <w:r>
              <w:rPr>
                <w:rFonts w:eastAsia="Malgun Gothic"/>
                <w:sz w:val="20"/>
                <w:szCs w:val="20"/>
              </w:rPr>
              <w:t xml:space="preserve"> 2 OFDM symbols for PDCCH, 24 RE/PRB for DMRS</w:t>
            </w:r>
          </w:p>
        </w:tc>
      </w:tr>
      <w:tr w:rsidR="00867347">
        <w:trPr>
          <w:tblCellSpacing w:w="0" w:type="dxa"/>
          <w:jc w:val="center"/>
        </w:trPr>
        <w:tc>
          <w:tcPr>
            <w:tcW w:w="2769" w:type="dxa"/>
            <w:vAlign w:val="center"/>
          </w:tcPr>
          <w:p w:rsidR="00867347" w:rsidRDefault="009414C0">
            <w:pPr>
              <w:pStyle w:val="1"/>
              <w:rPr>
                <w:rFonts w:eastAsia="Malgun Gothic"/>
                <w:sz w:val="20"/>
                <w:szCs w:val="20"/>
              </w:rPr>
            </w:pPr>
            <w:r>
              <w:rPr>
                <w:sz w:val="20"/>
                <w:szCs w:val="20"/>
              </w:rPr>
              <w:t>Metric</w:t>
            </w:r>
          </w:p>
        </w:tc>
        <w:tc>
          <w:tcPr>
            <w:tcW w:w="4836" w:type="dxa"/>
            <w:vAlign w:val="center"/>
          </w:tcPr>
          <w:p w:rsidR="00867347" w:rsidRDefault="009414C0">
            <w:pPr>
              <w:pStyle w:val="1"/>
              <w:rPr>
                <w:rFonts w:eastAsia="微软雅黑"/>
                <w:sz w:val="20"/>
                <w:szCs w:val="20"/>
              </w:rPr>
            </w:pPr>
            <w:r>
              <w:rPr>
                <w:rFonts w:eastAsia="Malgun Gothic"/>
                <w:sz w:val="20"/>
                <w:szCs w:val="20"/>
              </w:rPr>
              <w:t xml:space="preserve"> Average and 5% tail UE </w:t>
            </w:r>
            <w:r>
              <w:rPr>
                <w:rFonts w:eastAsia="微软雅黑"/>
                <w:sz w:val="20"/>
                <w:szCs w:val="20"/>
              </w:rPr>
              <w:t xml:space="preserve"> throughput; Per-rank PMI overhead; </w:t>
            </w:r>
          </w:p>
        </w:tc>
      </w:tr>
    </w:tbl>
    <w:p w:rsidR="00867347" w:rsidRDefault="00867347">
      <w:pPr>
        <w:pStyle w:val="NoSpacing1"/>
        <w:snapToGrid w:val="0"/>
        <w:rPr>
          <w:sz w:val="20"/>
          <w:szCs w:val="20"/>
        </w:rPr>
      </w:pPr>
    </w:p>
    <w:sectPr w:rsidR="00867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C2A534F"/>
    <w:multiLevelType w:val="multilevel"/>
    <w:tmpl w:val="0C2A534F"/>
    <w:lvl w:ilvl="0">
      <w:numFmt w:val="bullet"/>
      <w:lvlText w:val="-"/>
      <w:lvlJc w:val="left"/>
      <w:pPr>
        <w:ind w:left="817" w:hanging="360"/>
      </w:pPr>
      <w:rPr>
        <w:rFonts w:ascii="Times New Roman" w:eastAsia="Malgun Gothic" w:hAnsi="Times New Roman" w:cs="Times New Roman"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
    <w:nsid w:val="16061BBA"/>
    <w:multiLevelType w:val="multilevel"/>
    <w:tmpl w:val="16061BBA"/>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62359"/>
    <w:multiLevelType w:val="multilevel"/>
    <w:tmpl w:val="1F26235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1860BA7"/>
    <w:multiLevelType w:val="multilevel"/>
    <w:tmpl w:val="31860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16B5FA0"/>
    <w:multiLevelType w:val="multilevel"/>
    <w:tmpl w:val="416B5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1715388"/>
    <w:multiLevelType w:val="multilevel"/>
    <w:tmpl w:val="41715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1F81656"/>
    <w:multiLevelType w:val="multilevel"/>
    <w:tmpl w:val="41F81656"/>
    <w:lvl w:ilvl="0">
      <w:numFmt w:val="bullet"/>
      <w:lvlText w:val="-"/>
      <w:lvlJc w:val="left"/>
      <w:pPr>
        <w:ind w:left="817" w:hanging="360"/>
      </w:pPr>
      <w:rPr>
        <w:rFonts w:ascii="Times New Roman" w:eastAsia="Malgun Gothic" w:hAnsi="Times New Roman" w:cs="Times New Roman"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9">
    <w:nsid w:val="52763F10"/>
    <w:multiLevelType w:val="multilevel"/>
    <w:tmpl w:val="5276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BF1289E"/>
    <w:multiLevelType w:val="multilevel"/>
    <w:tmpl w:val="7BF128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
  </w:num>
  <w:num w:numId="5">
    <w:abstractNumId w:val="3"/>
  </w:num>
  <w:num w:numId="6">
    <w:abstractNumId w:val="2"/>
  </w:num>
  <w:num w:numId="7">
    <w:abstractNumId w:val="8"/>
  </w:num>
  <w:num w:numId="8">
    <w:abstractNumId w:val="9"/>
  </w:num>
  <w:num w:numId="9">
    <w:abstractNumId w:val="6"/>
  </w:num>
  <w:num w:numId="10">
    <w:abstractNumId w:val="5"/>
  </w:num>
  <w:num w:numId="11">
    <w:abstractNumId w:val="7"/>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927"/>
    <w:rsid w:val="00006A0E"/>
    <w:rsid w:val="0000705B"/>
    <w:rsid w:val="0000711D"/>
    <w:rsid w:val="00007304"/>
    <w:rsid w:val="00007EEB"/>
    <w:rsid w:val="00010512"/>
    <w:rsid w:val="0001054F"/>
    <w:rsid w:val="00010969"/>
    <w:rsid w:val="00010AF9"/>
    <w:rsid w:val="000114F8"/>
    <w:rsid w:val="00011890"/>
    <w:rsid w:val="000118E9"/>
    <w:rsid w:val="00011BB4"/>
    <w:rsid w:val="00011C8C"/>
    <w:rsid w:val="00011CE0"/>
    <w:rsid w:val="00011D44"/>
    <w:rsid w:val="000123B6"/>
    <w:rsid w:val="000123C2"/>
    <w:rsid w:val="000128EC"/>
    <w:rsid w:val="00012E08"/>
    <w:rsid w:val="00012E58"/>
    <w:rsid w:val="000130B1"/>
    <w:rsid w:val="000132A2"/>
    <w:rsid w:val="00013C5E"/>
    <w:rsid w:val="00013DBF"/>
    <w:rsid w:val="00014115"/>
    <w:rsid w:val="000141EE"/>
    <w:rsid w:val="0001445A"/>
    <w:rsid w:val="00014604"/>
    <w:rsid w:val="00014C6F"/>
    <w:rsid w:val="0001555C"/>
    <w:rsid w:val="00015724"/>
    <w:rsid w:val="000164F2"/>
    <w:rsid w:val="00016BE3"/>
    <w:rsid w:val="00017916"/>
    <w:rsid w:val="0001796D"/>
    <w:rsid w:val="00017A11"/>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4863"/>
    <w:rsid w:val="00025226"/>
    <w:rsid w:val="00025695"/>
    <w:rsid w:val="000257BD"/>
    <w:rsid w:val="00025F6C"/>
    <w:rsid w:val="00026826"/>
    <w:rsid w:val="00026B95"/>
    <w:rsid w:val="00026C59"/>
    <w:rsid w:val="000271B7"/>
    <w:rsid w:val="0002734F"/>
    <w:rsid w:val="00027712"/>
    <w:rsid w:val="00027B48"/>
    <w:rsid w:val="00027B55"/>
    <w:rsid w:val="00027D0A"/>
    <w:rsid w:val="00027E02"/>
    <w:rsid w:val="000303C2"/>
    <w:rsid w:val="0003074F"/>
    <w:rsid w:val="00030A1A"/>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E85"/>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3D2"/>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94E"/>
    <w:rsid w:val="000559F1"/>
    <w:rsid w:val="00055F68"/>
    <w:rsid w:val="0005716B"/>
    <w:rsid w:val="0005757D"/>
    <w:rsid w:val="00057AC7"/>
    <w:rsid w:val="00057EA7"/>
    <w:rsid w:val="00060094"/>
    <w:rsid w:val="000600F5"/>
    <w:rsid w:val="00060BF4"/>
    <w:rsid w:val="00061065"/>
    <w:rsid w:val="00061896"/>
    <w:rsid w:val="000618CF"/>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407"/>
    <w:rsid w:val="00071CCB"/>
    <w:rsid w:val="00071F92"/>
    <w:rsid w:val="0007309B"/>
    <w:rsid w:val="000738FD"/>
    <w:rsid w:val="00073A92"/>
    <w:rsid w:val="00074888"/>
    <w:rsid w:val="00074A32"/>
    <w:rsid w:val="00074B8B"/>
    <w:rsid w:val="00075A6E"/>
    <w:rsid w:val="00075E20"/>
    <w:rsid w:val="0007636A"/>
    <w:rsid w:val="000764DA"/>
    <w:rsid w:val="000768A6"/>
    <w:rsid w:val="0007696E"/>
    <w:rsid w:val="0007723B"/>
    <w:rsid w:val="000776AF"/>
    <w:rsid w:val="00077BF8"/>
    <w:rsid w:val="00077CAD"/>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C34"/>
    <w:rsid w:val="000A030E"/>
    <w:rsid w:val="000A06DC"/>
    <w:rsid w:val="000A1279"/>
    <w:rsid w:val="000A1428"/>
    <w:rsid w:val="000A145E"/>
    <w:rsid w:val="000A1AB7"/>
    <w:rsid w:val="000A1C7B"/>
    <w:rsid w:val="000A1C7D"/>
    <w:rsid w:val="000A1E25"/>
    <w:rsid w:val="000A1E32"/>
    <w:rsid w:val="000A23F3"/>
    <w:rsid w:val="000A2795"/>
    <w:rsid w:val="000A2BF8"/>
    <w:rsid w:val="000A3632"/>
    <w:rsid w:val="000A383F"/>
    <w:rsid w:val="000A3B66"/>
    <w:rsid w:val="000A4263"/>
    <w:rsid w:val="000A436D"/>
    <w:rsid w:val="000A53B8"/>
    <w:rsid w:val="000A568B"/>
    <w:rsid w:val="000A56C6"/>
    <w:rsid w:val="000A61C7"/>
    <w:rsid w:val="000A62EA"/>
    <w:rsid w:val="000A6303"/>
    <w:rsid w:val="000A654E"/>
    <w:rsid w:val="000A777F"/>
    <w:rsid w:val="000A7CDA"/>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0C38"/>
    <w:rsid w:val="000F104F"/>
    <w:rsid w:val="000F14A4"/>
    <w:rsid w:val="000F1A83"/>
    <w:rsid w:val="000F1AE8"/>
    <w:rsid w:val="000F1D39"/>
    <w:rsid w:val="000F1E06"/>
    <w:rsid w:val="000F1F38"/>
    <w:rsid w:val="000F2106"/>
    <w:rsid w:val="000F25D2"/>
    <w:rsid w:val="000F2606"/>
    <w:rsid w:val="000F2BA8"/>
    <w:rsid w:val="000F375F"/>
    <w:rsid w:val="000F3836"/>
    <w:rsid w:val="000F41BB"/>
    <w:rsid w:val="000F43B9"/>
    <w:rsid w:val="000F4551"/>
    <w:rsid w:val="000F48F4"/>
    <w:rsid w:val="000F4DDA"/>
    <w:rsid w:val="000F4E7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A2F"/>
    <w:rsid w:val="00100BEA"/>
    <w:rsid w:val="001010EF"/>
    <w:rsid w:val="00101AFD"/>
    <w:rsid w:val="00101B58"/>
    <w:rsid w:val="00101C8E"/>
    <w:rsid w:val="00102192"/>
    <w:rsid w:val="0010229B"/>
    <w:rsid w:val="00102718"/>
    <w:rsid w:val="00102C38"/>
    <w:rsid w:val="00103199"/>
    <w:rsid w:val="00103A8C"/>
    <w:rsid w:val="00103E17"/>
    <w:rsid w:val="0010402E"/>
    <w:rsid w:val="00104247"/>
    <w:rsid w:val="00104671"/>
    <w:rsid w:val="001046A2"/>
    <w:rsid w:val="00104768"/>
    <w:rsid w:val="001048B1"/>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409D"/>
    <w:rsid w:val="00114AF5"/>
    <w:rsid w:val="00114C04"/>
    <w:rsid w:val="00114D59"/>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4658"/>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37C96"/>
    <w:rsid w:val="001404E2"/>
    <w:rsid w:val="001405C3"/>
    <w:rsid w:val="00140803"/>
    <w:rsid w:val="00140944"/>
    <w:rsid w:val="00140A5E"/>
    <w:rsid w:val="00140E7D"/>
    <w:rsid w:val="00140FDF"/>
    <w:rsid w:val="0014108D"/>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8A6"/>
    <w:rsid w:val="001522BF"/>
    <w:rsid w:val="00152345"/>
    <w:rsid w:val="00152731"/>
    <w:rsid w:val="001538F2"/>
    <w:rsid w:val="0015391E"/>
    <w:rsid w:val="00153CF0"/>
    <w:rsid w:val="0015403C"/>
    <w:rsid w:val="0015441C"/>
    <w:rsid w:val="00154AB2"/>
    <w:rsid w:val="00154CBB"/>
    <w:rsid w:val="00154D2A"/>
    <w:rsid w:val="00154F10"/>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246"/>
    <w:rsid w:val="00170C25"/>
    <w:rsid w:val="00170D4E"/>
    <w:rsid w:val="00171303"/>
    <w:rsid w:val="0017169D"/>
    <w:rsid w:val="00171EE9"/>
    <w:rsid w:val="00172053"/>
    <w:rsid w:val="001724A0"/>
    <w:rsid w:val="001725D6"/>
    <w:rsid w:val="00172A27"/>
    <w:rsid w:val="001732CF"/>
    <w:rsid w:val="001735EF"/>
    <w:rsid w:val="00173748"/>
    <w:rsid w:val="00173A32"/>
    <w:rsid w:val="00173AF4"/>
    <w:rsid w:val="0017400C"/>
    <w:rsid w:val="001740D8"/>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3E9"/>
    <w:rsid w:val="00183A86"/>
    <w:rsid w:val="00183CD7"/>
    <w:rsid w:val="00184248"/>
    <w:rsid w:val="0018448C"/>
    <w:rsid w:val="001844E3"/>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39E"/>
    <w:rsid w:val="0019053A"/>
    <w:rsid w:val="00191379"/>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BD9"/>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C0316"/>
    <w:rsid w:val="001C0776"/>
    <w:rsid w:val="001C127E"/>
    <w:rsid w:val="001C128D"/>
    <w:rsid w:val="001C14CC"/>
    <w:rsid w:val="001C16C8"/>
    <w:rsid w:val="001C172B"/>
    <w:rsid w:val="001C1ED7"/>
    <w:rsid w:val="001C20E1"/>
    <w:rsid w:val="001C22A8"/>
    <w:rsid w:val="001C2ECF"/>
    <w:rsid w:val="001C308C"/>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40D"/>
    <w:rsid w:val="001D378B"/>
    <w:rsid w:val="001D3ED5"/>
    <w:rsid w:val="001D49B4"/>
    <w:rsid w:val="001D509B"/>
    <w:rsid w:val="001D55C7"/>
    <w:rsid w:val="001D5CF4"/>
    <w:rsid w:val="001D5ECA"/>
    <w:rsid w:val="001D6738"/>
    <w:rsid w:val="001D691F"/>
    <w:rsid w:val="001D6FDE"/>
    <w:rsid w:val="001D71E9"/>
    <w:rsid w:val="001D747E"/>
    <w:rsid w:val="001D7B87"/>
    <w:rsid w:val="001D7BF0"/>
    <w:rsid w:val="001E072A"/>
    <w:rsid w:val="001E0A83"/>
    <w:rsid w:val="001E0EAE"/>
    <w:rsid w:val="001E16D4"/>
    <w:rsid w:val="001E1705"/>
    <w:rsid w:val="001E1760"/>
    <w:rsid w:val="001E1A77"/>
    <w:rsid w:val="001E2890"/>
    <w:rsid w:val="001E2B19"/>
    <w:rsid w:val="001E308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05E"/>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E0"/>
    <w:rsid w:val="0023213B"/>
    <w:rsid w:val="0023261E"/>
    <w:rsid w:val="0023279C"/>
    <w:rsid w:val="00232CC6"/>
    <w:rsid w:val="00232EC6"/>
    <w:rsid w:val="002331E4"/>
    <w:rsid w:val="00233638"/>
    <w:rsid w:val="0023420A"/>
    <w:rsid w:val="00234EDC"/>
    <w:rsid w:val="002357D4"/>
    <w:rsid w:val="0023589D"/>
    <w:rsid w:val="0023590E"/>
    <w:rsid w:val="00235E20"/>
    <w:rsid w:val="00236533"/>
    <w:rsid w:val="002373FD"/>
    <w:rsid w:val="00240AEF"/>
    <w:rsid w:val="00240B53"/>
    <w:rsid w:val="00240C3D"/>
    <w:rsid w:val="002414DB"/>
    <w:rsid w:val="00241BBD"/>
    <w:rsid w:val="00241E0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3E4C"/>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F79"/>
    <w:rsid w:val="00263147"/>
    <w:rsid w:val="0026315D"/>
    <w:rsid w:val="00263269"/>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935"/>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F12"/>
    <w:rsid w:val="00273148"/>
    <w:rsid w:val="0027333B"/>
    <w:rsid w:val="00273507"/>
    <w:rsid w:val="00273C4B"/>
    <w:rsid w:val="00274627"/>
    <w:rsid w:val="00274788"/>
    <w:rsid w:val="00274A10"/>
    <w:rsid w:val="00274B95"/>
    <w:rsid w:val="00274D70"/>
    <w:rsid w:val="00275241"/>
    <w:rsid w:val="00276045"/>
    <w:rsid w:val="00276D62"/>
    <w:rsid w:val="00276DFF"/>
    <w:rsid w:val="0027724B"/>
    <w:rsid w:val="00277270"/>
    <w:rsid w:val="00277A3E"/>
    <w:rsid w:val="002801D5"/>
    <w:rsid w:val="0028042C"/>
    <w:rsid w:val="00280B7E"/>
    <w:rsid w:val="002811F3"/>
    <w:rsid w:val="00281283"/>
    <w:rsid w:val="00281355"/>
    <w:rsid w:val="00281756"/>
    <w:rsid w:val="002828EF"/>
    <w:rsid w:val="00282999"/>
    <w:rsid w:val="00282AF5"/>
    <w:rsid w:val="0028387F"/>
    <w:rsid w:val="002845C3"/>
    <w:rsid w:val="00284A55"/>
    <w:rsid w:val="00284B9F"/>
    <w:rsid w:val="00285621"/>
    <w:rsid w:val="00285C7A"/>
    <w:rsid w:val="002860A4"/>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695"/>
    <w:rsid w:val="002B16BF"/>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B7F2C"/>
    <w:rsid w:val="002C07CA"/>
    <w:rsid w:val="002C0941"/>
    <w:rsid w:val="002C0962"/>
    <w:rsid w:val="002C0990"/>
    <w:rsid w:val="002C102E"/>
    <w:rsid w:val="002C10ED"/>
    <w:rsid w:val="002C1138"/>
    <w:rsid w:val="002C15B4"/>
    <w:rsid w:val="002C1C6B"/>
    <w:rsid w:val="002C1E7D"/>
    <w:rsid w:val="002C2041"/>
    <w:rsid w:val="002C278B"/>
    <w:rsid w:val="002C2EBE"/>
    <w:rsid w:val="002C321B"/>
    <w:rsid w:val="002C329C"/>
    <w:rsid w:val="002C3383"/>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9E6"/>
    <w:rsid w:val="002D0AA0"/>
    <w:rsid w:val="002D0AD3"/>
    <w:rsid w:val="002D0C01"/>
    <w:rsid w:val="002D0E57"/>
    <w:rsid w:val="002D2261"/>
    <w:rsid w:val="002D230A"/>
    <w:rsid w:val="002D25FB"/>
    <w:rsid w:val="002D2B08"/>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DC"/>
    <w:rsid w:val="002E547F"/>
    <w:rsid w:val="002E5702"/>
    <w:rsid w:val="002E5CF5"/>
    <w:rsid w:val="002E62E1"/>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EE2"/>
    <w:rsid w:val="002F27D9"/>
    <w:rsid w:val="002F2C0F"/>
    <w:rsid w:val="002F2C11"/>
    <w:rsid w:val="002F30C3"/>
    <w:rsid w:val="002F37CB"/>
    <w:rsid w:val="002F3DB9"/>
    <w:rsid w:val="002F4808"/>
    <w:rsid w:val="002F48D4"/>
    <w:rsid w:val="002F4965"/>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7AD"/>
    <w:rsid w:val="00303C41"/>
    <w:rsid w:val="00304139"/>
    <w:rsid w:val="003041A3"/>
    <w:rsid w:val="0030430D"/>
    <w:rsid w:val="003045A7"/>
    <w:rsid w:val="003045F4"/>
    <w:rsid w:val="0030495D"/>
    <w:rsid w:val="00304EFD"/>
    <w:rsid w:val="0030522A"/>
    <w:rsid w:val="003053A2"/>
    <w:rsid w:val="00305493"/>
    <w:rsid w:val="0030574F"/>
    <w:rsid w:val="00306202"/>
    <w:rsid w:val="003067AB"/>
    <w:rsid w:val="00307052"/>
    <w:rsid w:val="0031084C"/>
    <w:rsid w:val="00310A2A"/>
    <w:rsid w:val="003112E2"/>
    <w:rsid w:val="0031142D"/>
    <w:rsid w:val="0031235D"/>
    <w:rsid w:val="00312446"/>
    <w:rsid w:val="003125B6"/>
    <w:rsid w:val="00312853"/>
    <w:rsid w:val="00312993"/>
    <w:rsid w:val="00312D5E"/>
    <w:rsid w:val="00312DFD"/>
    <w:rsid w:val="0031374E"/>
    <w:rsid w:val="00313A56"/>
    <w:rsid w:val="00313D8E"/>
    <w:rsid w:val="003140E3"/>
    <w:rsid w:val="003141D5"/>
    <w:rsid w:val="0031454E"/>
    <w:rsid w:val="003147A0"/>
    <w:rsid w:val="00314847"/>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9F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3A42"/>
    <w:rsid w:val="00333FB1"/>
    <w:rsid w:val="0033428D"/>
    <w:rsid w:val="003345F3"/>
    <w:rsid w:val="0033466C"/>
    <w:rsid w:val="00334BC5"/>
    <w:rsid w:val="00334CE2"/>
    <w:rsid w:val="00334EC0"/>
    <w:rsid w:val="003352A4"/>
    <w:rsid w:val="0033533A"/>
    <w:rsid w:val="00335ABE"/>
    <w:rsid w:val="00335B43"/>
    <w:rsid w:val="00336D7F"/>
    <w:rsid w:val="00336F5F"/>
    <w:rsid w:val="00337310"/>
    <w:rsid w:val="0033774F"/>
    <w:rsid w:val="00337895"/>
    <w:rsid w:val="00337969"/>
    <w:rsid w:val="003379EB"/>
    <w:rsid w:val="00337E84"/>
    <w:rsid w:val="00337EC1"/>
    <w:rsid w:val="00337FBE"/>
    <w:rsid w:val="00337FEA"/>
    <w:rsid w:val="00340061"/>
    <w:rsid w:val="00340207"/>
    <w:rsid w:val="00340433"/>
    <w:rsid w:val="003404B1"/>
    <w:rsid w:val="003406C7"/>
    <w:rsid w:val="003406E5"/>
    <w:rsid w:val="003407F8"/>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907"/>
    <w:rsid w:val="00344ACE"/>
    <w:rsid w:val="00345447"/>
    <w:rsid w:val="00345DFB"/>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33E"/>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79"/>
    <w:rsid w:val="00370F87"/>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34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3C2"/>
    <w:rsid w:val="003974C0"/>
    <w:rsid w:val="00397804"/>
    <w:rsid w:val="003A012F"/>
    <w:rsid w:val="003A0520"/>
    <w:rsid w:val="003A0DB2"/>
    <w:rsid w:val="003A1BA6"/>
    <w:rsid w:val="003A1BCE"/>
    <w:rsid w:val="003A1BD0"/>
    <w:rsid w:val="003A2543"/>
    <w:rsid w:val="003A277C"/>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178"/>
    <w:rsid w:val="003A65C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4328"/>
    <w:rsid w:val="003C567A"/>
    <w:rsid w:val="003C5A21"/>
    <w:rsid w:val="003C5E02"/>
    <w:rsid w:val="003C66C3"/>
    <w:rsid w:val="003C6A55"/>
    <w:rsid w:val="003C6B8A"/>
    <w:rsid w:val="003C6BFA"/>
    <w:rsid w:val="003C6E3B"/>
    <w:rsid w:val="003C704B"/>
    <w:rsid w:val="003C7250"/>
    <w:rsid w:val="003C7562"/>
    <w:rsid w:val="003C7FD5"/>
    <w:rsid w:val="003D0230"/>
    <w:rsid w:val="003D0895"/>
    <w:rsid w:val="003D0FA8"/>
    <w:rsid w:val="003D1D1B"/>
    <w:rsid w:val="003D1EB1"/>
    <w:rsid w:val="003D21F8"/>
    <w:rsid w:val="003D29A5"/>
    <w:rsid w:val="003D336B"/>
    <w:rsid w:val="003D3543"/>
    <w:rsid w:val="003D3650"/>
    <w:rsid w:val="003D368D"/>
    <w:rsid w:val="003D3882"/>
    <w:rsid w:val="003D413A"/>
    <w:rsid w:val="003D428C"/>
    <w:rsid w:val="003D43CB"/>
    <w:rsid w:val="003D46A0"/>
    <w:rsid w:val="003D4C03"/>
    <w:rsid w:val="003D5109"/>
    <w:rsid w:val="003D53D8"/>
    <w:rsid w:val="003D5449"/>
    <w:rsid w:val="003D55AE"/>
    <w:rsid w:val="003D5877"/>
    <w:rsid w:val="003D5FC7"/>
    <w:rsid w:val="003D6351"/>
    <w:rsid w:val="003D6AE5"/>
    <w:rsid w:val="003D746D"/>
    <w:rsid w:val="003D7491"/>
    <w:rsid w:val="003D77A6"/>
    <w:rsid w:val="003D79F1"/>
    <w:rsid w:val="003D7A58"/>
    <w:rsid w:val="003D7EB6"/>
    <w:rsid w:val="003E0AD8"/>
    <w:rsid w:val="003E0ADC"/>
    <w:rsid w:val="003E221F"/>
    <w:rsid w:val="003E280B"/>
    <w:rsid w:val="003E2BAF"/>
    <w:rsid w:val="003E2DB4"/>
    <w:rsid w:val="003E2F38"/>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0DA"/>
    <w:rsid w:val="003F47FB"/>
    <w:rsid w:val="003F4D4E"/>
    <w:rsid w:val="003F5CCA"/>
    <w:rsid w:val="003F5DC5"/>
    <w:rsid w:val="003F62B4"/>
    <w:rsid w:val="003F65C7"/>
    <w:rsid w:val="003F6D5F"/>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BF6"/>
    <w:rsid w:val="00403BE4"/>
    <w:rsid w:val="004047EC"/>
    <w:rsid w:val="00405460"/>
    <w:rsid w:val="004055CB"/>
    <w:rsid w:val="00405BB4"/>
    <w:rsid w:val="00406323"/>
    <w:rsid w:val="004063D6"/>
    <w:rsid w:val="00406512"/>
    <w:rsid w:val="004066F3"/>
    <w:rsid w:val="00406D2D"/>
    <w:rsid w:val="00406F18"/>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AF9"/>
    <w:rsid w:val="0041408E"/>
    <w:rsid w:val="00414531"/>
    <w:rsid w:val="0041485A"/>
    <w:rsid w:val="00415602"/>
    <w:rsid w:val="00415701"/>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4C"/>
    <w:rsid w:val="004261E2"/>
    <w:rsid w:val="004262AB"/>
    <w:rsid w:val="00426707"/>
    <w:rsid w:val="00426CF2"/>
    <w:rsid w:val="004270F5"/>
    <w:rsid w:val="00427564"/>
    <w:rsid w:val="004277AA"/>
    <w:rsid w:val="00427A9A"/>
    <w:rsid w:val="00427FCB"/>
    <w:rsid w:val="00430152"/>
    <w:rsid w:val="00431069"/>
    <w:rsid w:val="00431814"/>
    <w:rsid w:val="00431D3F"/>
    <w:rsid w:val="00432133"/>
    <w:rsid w:val="004329F5"/>
    <w:rsid w:val="00432B38"/>
    <w:rsid w:val="00432BC2"/>
    <w:rsid w:val="00432BCE"/>
    <w:rsid w:val="00432D0C"/>
    <w:rsid w:val="004331DE"/>
    <w:rsid w:val="004333A4"/>
    <w:rsid w:val="00433909"/>
    <w:rsid w:val="004339AF"/>
    <w:rsid w:val="00433FCC"/>
    <w:rsid w:val="00434280"/>
    <w:rsid w:val="00434701"/>
    <w:rsid w:val="00434B8E"/>
    <w:rsid w:val="00434C5E"/>
    <w:rsid w:val="00434E8D"/>
    <w:rsid w:val="0043559D"/>
    <w:rsid w:val="0043565F"/>
    <w:rsid w:val="004356DB"/>
    <w:rsid w:val="00436211"/>
    <w:rsid w:val="0043635A"/>
    <w:rsid w:val="00436A3C"/>
    <w:rsid w:val="00436BF9"/>
    <w:rsid w:val="00437190"/>
    <w:rsid w:val="004372FD"/>
    <w:rsid w:val="004379D5"/>
    <w:rsid w:val="00437A60"/>
    <w:rsid w:val="00437BB1"/>
    <w:rsid w:val="00440248"/>
    <w:rsid w:val="004408F8"/>
    <w:rsid w:val="00440B98"/>
    <w:rsid w:val="004413E5"/>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CD0"/>
    <w:rsid w:val="00451DE4"/>
    <w:rsid w:val="0045297E"/>
    <w:rsid w:val="004530D2"/>
    <w:rsid w:val="0045315C"/>
    <w:rsid w:val="00453D19"/>
    <w:rsid w:val="00454522"/>
    <w:rsid w:val="00454582"/>
    <w:rsid w:val="00454744"/>
    <w:rsid w:val="004548F8"/>
    <w:rsid w:val="004555F2"/>
    <w:rsid w:val="00455AFC"/>
    <w:rsid w:val="0045611C"/>
    <w:rsid w:val="00456999"/>
    <w:rsid w:val="004576A1"/>
    <w:rsid w:val="00457B9D"/>
    <w:rsid w:val="00460141"/>
    <w:rsid w:val="004604C1"/>
    <w:rsid w:val="0046059A"/>
    <w:rsid w:val="00460AD3"/>
    <w:rsid w:val="00460F13"/>
    <w:rsid w:val="004610B1"/>
    <w:rsid w:val="00461C54"/>
    <w:rsid w:val="00461D73"/>
    <w:rsid w:val="00461DE2"/>
    <w:rsid w:val="00461EBD"/>
    <w:rsid w:val="004625D8"/>
    <w:rsid w:val="00462A02"/>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67F4B"/>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40B"/>
    <w:rsid w:val="00481AC0"/>
    <w:rsid w:val="00481B60"/>
    <w:rsid w:val="00482303"/>
    <w:rsid w:val="00483177"/>
    <w:rsid w:val="0048329D"/>
    <w:rsid w:val="00483389"/>
    <w:rsid w:val="004837D0"/>
    <w:rsid w:val="00483D35"/>
    <w:rsid w:val="00484AEE"/>
    <w:rsid w:val="00484C9B"/>
    <w:rsid w:val="00484CC7"/>
    <w:rsid w:val="00484D88"/>
    <w:rsid w:val="004855B3"/>
    <w:rsid w:val="00485F78"/>
    <w:rsid w:val="0048666C"/>
    <w:rsid w:val="0048668F"/>
    <w:rsid w:val="00486C8E"/>
    <w:rsid w:val="00486E1F"/>
    <w:rsid w:val="004871B4"/>
    <w:rsid w:val="0048722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6F1"/>
    <w:rsid w:val="0049590C"/>
    <w:rsid w:val="0049596D"/>
    <w:rsid w:val="00495BAE"/>
    <w:rsid w:val="00495C92"/>
    <w:rsid w:val="004960E3"/>
    <w:rsid w:val="0049628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58A"/>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2FF2"/>
    <w:rsid w:val="004C31CA"/>
    <w:rsid w:val="004C3627"/>
    <w:rsid w:val="004C3C3E"/>
    <w:rsid w:val="004C3CBF"/>
    <w:rsid w:val="004C4549"/>
    <w:rsid w:val="004C464C"/>
    <w:rsid w:val="004C4732"/>
    <w:rsid w:val="004C4EA6"/>
    <w:rsid w:val="004C5C7E"/>
    <w:rsid w:val="004C5D00"/>
    <w:rsid w:val="004C5DD6"/>
    <w:rsid w:val="004C5FC5"/>
    <w:rsid w:val="004C6351"/>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0AF"/>
    <w:rsid w:val="004F0384"/>
    <w:rsid w:val="004F06EA"/>
    <w:rsid w:val="004F0A5E"/>
    <w:rsid w:val="004F0B9E"/>
    <w:rsid w:val="004F16B7"/>
    <w:rsid w:val="004F27CF"/>
    <w:rsid w:val="004F2888"/>
    <w:rsid w:val="004F293E"/>
    <w:rsid w:val="004F2C4C"/>
    <w:rsid w:val="004F34E8"/>
    <w:rsid w:val="004F3C7C"/>
    <w:rsid w:val="004F401D"/>
    <w:rsid w:val="004F45A4"/>
    <w:rsid w:val="004F45B9"/>
    <w:rsid w:val="004F4BE8"/>
    <w:rsid w:val="004F4CD3"/>
    <w:rsid w:val="004F541A"/>
    <w:rsid w:val="004F548F"/>
    <w:rsid w:val="004F570C"/>
    <w:rsid w:val="004F5A68"/>
    <w:rsid w:val="004F5E3A"/>
    <w:rsid w:val="004F60DA"/>
    <w:rsid w:val="004F6984"/>
    <w:rsid w:val="004F7395"/>
    <w:rsid w:val="004F751F"/>
    <w:rsid w:val="004F76E2"/>
    <w:rsid w:val="004F7802"/>
    <w:rsid w:val="0050068C"/>
    <w:rsid w:val="005009BE"/>
    <w:rsid w:val="005016A4"/>
    <w:rsid w:val="0050204D"/>
    <w:rsid w:val="0050233D"/>
    <w:rsid w:val="00502663"/>
    <w:rsid w:val="00502829"/>
    <w:rsid w:val="00502CED"/>
    <w:rsid w:val="00502CEF"/>
    <w:rsid w:val="0050339E"/>
    <w:rsid w:val="005034C5"/>
    <w:rsid w:val="005035A0"/>
    <w:rsid w:val="00503ACE"/>
    <w:rsid w:val="00503E00"/>
    <w:rsid w:val="00503EF7"/>
    <w:rsid w:val="0050412F"/>
    <w:rsid w:val="00504183"/>
    <w:rsid w:val="0050499F"/>
    <w:rsid w:val="00504CCD"/>
    <w:rsid w:val="00504D09"/>
    <w:rsid w:val="005055AC"/>
    <w:rsid w:val="005055B6"/>
    <w:rsid w:val="00505AA9"/>
    <w:rsid w:val="00505C32"/>
    <w:rsid w:val="00505F81"/>
    <w:rsid w:val="00506343"/>
    <w:rsid w:val="00506D92"/>
    <w:rsid w:val="0050794C"/>
    <w:rsid w:val="00507EE2"/>
    <w:rsid w:val="00510061"/>
    <w:rsid w:val="005102DA"/>
    <w:rsid w:val="00510847"/>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4C9"/>
    <w:rsid w:val="00514A0C"/>
    <w:rsid w:val="00514CCC"/>
    <w:rsid w:val="00514E8E"/>
    <w:rsid w:val="00514EB8"/>
    <w:rsid w:val="00514F75"/>
    <w:rsid w:val="00515274"/>
    <w:rsid w:val="00515877"/>
    <w:rsid w:val="00516093"/>
    <w:rsid w:val="0051673C"/>
    <w:rsid w:val="005169BB"/>
    <w:rsid w:val="00516B63"/>
    <w:rsid w:val="0051733D"/>
    <w:rsid w:val="0051787B"/>
    <w:rsid w:val="00517F5C"/>
    <w:rsid w:val="0052014E"/>
    <w:rsid w:val="005208D0"/>
    <w:rsid w:val="00520CB1"/>
    <w:rsid w:val="00520FBE"/>
    <w:rsid w:val="0052138E"/>
    <w:rsid w:val="00521B6F"/>
    <w:rsid w:val="00521BC1"/>
    <w:rsid w:val="00521D36"/>
    <w:rsid w:val="00521FC4"/>
    <w:rsid w:val="005231ED"/>
    <w:rsid w:val="005237A5"/>
    <w:rsid w:val="005239A0"/>
    <w:rsid w:val="00523C20"/>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37FE8"/>
    <w:rsid w:val="00540480"/>
    <w:rsid w:val="00540A70"/>
    <w:rsid w:val="00541179"/>
    <w:rsid w:val="005414C9"/>
    <w:rsid w:val="0054163B"/>
    <w:rsid w:val="0054175E"/>
    <w:rsid w:val="00542076"/>
    <w:rsid w:val="0054254B"/>
    <w:rsid w:val="00542B7A"/>
    <w:rsid w:val="005433C0"/>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535"/>
    <w:rsid w:val="005507FE"/>
    <w:rsid w:val="005514A8"/>
    <w:rsid w:val="005518F2"/>
    <w:rsid w:val="005519E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385D"/>
    <w:rsid w:val="00563B43"/>
    <w:rsid w:val="00564569"/>
    <w:rsid w:val="00565452"/>
    <w:rsid w:val="0056579B"/>
    <w:rsid w:val="00565959"/>
    <w:rsid w:val="005659F9"/>
    <w:rsid w:val="00565A7E"/>
    <w:rsid w:val="0056601A"/>
    <w:rsid w:val="0056748C"/>
    <w:rsid w:val="00567848"/>
    <w:rsid w:val="005679D7"/>
    <w:rsid w:val="00567FC3"/>
    <w:rsid w:val="00570114"/>
    <w:rsid w:val="005701A2"/>
    <w:rsid w:val="005704DC"/>
    <w:rsid w:val="00570B18"/>
    <w:rsid w:val="00570D8C"/>
    <w:rsid w:val="00571552"/>
    <w:rsid w:val="0057203F"/>
    <w:rsid w:val="00572889"/>
    <w:rsid w:val="005729C6"/>
    <w:rsid w:val="00572AC6"/>
    <w:rsid w:val="00572CCB"/>
    <w:rsid w:val="005734D7"/>
    <w:rsid w:val="005736E9"/>
    <w:rsid w:val="0057407D"/>
    <w:rsid w:val="0057430E"/>
    <w:rsid w:val="0057491D"/>
    <w:rsid w:val="00574B39"/>
    <w:rsid w:val="00575443"/>
    <w:rsid w:val="00575610"/>
    <w:rsid w:val="00575C1F"/>
    <w:rsid w:val="00575CDC"/>
    <w:rsid w:val="00575F58"/>
    <w:rsid w:val="005769BC"/>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78B"/>
    <w:rsid w:val="00586ADE"/>
    <w:rsid w:val="0058709F"/>
    <w:rsid w:val="0058756C"/>
    <w:rsid w:val="0058768D"/>
    <w:rsid w:val="00587864"/>
    <w:rsid w:val="00587A8E"/>
    <w:rsid w:val="00587DAA"/>
    <w:rsid w:val="00587EAC"/>
    <w:rsid w:val="005905C2"/>
    <w:rsid w:val="00590A71"/>
    <w:rsid w:val="00590E15"/>
    <w:rsid w:val="00591491"/>
    <w:rsid w:val="00591579"/>
    <w:rsid w:val="005919ED"/>
    <w:rsid w:val="005921F9"/>
    <w:rsid w:val="0059237B"/>
    <w:rsid w:val="005928FD"/>
    <w:rsid w:val="00592DA3"/>
    <w:rsid w:val="00592F41"/>
    <w:rsid w:val="0059357F"/>
    <w:rsid w:val="005935BC"/>
    <w:rsid w:val="005938AB"/>
    <w:rsid w:val="00593B03"/>
    <w:rsid w:val="00594156"/>
    <w:rsid w:val="00594AE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5E59"/>
    <w:rsid w:val="005C6614"/>
    <w:rsid w:val="005C6641"/>
    <w:rsid w:val="005C6AA0"/>
    <w:rsid w:val="005C6E06"/>
    <w:rsid w:val="005C7302"/>
    <w:rsid w:val="005C767C"/>
    <w:rsid w:val="005C78C5"/>
    <w:rsid w:val="005C7A22"/>
    <w:rsid w:val="005D005E"/>
    <w:rsid w:val="005D0086"/>
    <w:rsid w:val="005D0D7D"/>
    <w:rsid w:val="005D187F"/>
    <w:rsid w:val="005D1990"/>
    <w:rsid w:val="005D2682"/>
    <w:rsid w:val="005D2946"/>
    <w:rsid w:val="005D295E"/>
    <w:rsid w:val="005D2E95"/>
    <w:rsid w:val="005D334A"/>
    <w:rsid w:val="005D348D"/>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315F"/>
    <w:rsid w:val="005E3184"/>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A8D"/>
    <w:rsid w:val="005E7FC6"/>
    <w:rsid w:val="005F0248"/>
    <w:rsid w:val="005F0313"/>
    <w:rsid w:val="005F05A1"/>
    <w:rsid w:val="005F1387"/>
    <w:rsid w:val="005F28A5"/>
    <w:rsid w:val="005F2D77"/>
    <w:rsid w:val="005F319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A1E"/>
    <w:rsid w:val="006035FA"/>
    <w:rsid w:val="006039E0"/>
    <w:rsid w:val="00603BC4"/>
    <w:rsid w:val="00604C09"/>
    <w:rsid w:val="00604D27"/>
    <w:rsid w:val="006050E5"/>
    <w:rsid w:val="006054DE"/>
    <w:rsid w:val="00605B60"/>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6111"/>
    <w:rsid w:val="00626363"/>
    <w:rsid w:val="006265E3"/>
    <w:rsid w:val="00626742"/>
    <w:rsid w:val="00626C86"/>
    <w:rsid w:val="0062743C"/>
    <w:rsid w:val="00627C0A"/>
    <w:rsid w:val="00627D10"/>
    <w:rsid w:val="00627FAD"/>
    <w:rsid w:val="0063060C"/>
    <w:rsid w:val="006312D2"/>
    <w:rsid w:val="00631349"/>
    <w:rsid w:val="00631742"/>
    <w:rsid w:val="00631F42"/>
    <w:rsid w:val="0063213E"/>
    <w:rsid w:val="006321FC"/>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4B82"/>
    <w:rsid w:val="00635327"/>
    <w:rsid w:val="006357FE"/>
    <w:rsid w:val="006358FE"/>
    <w:rsid w:val="006359BF"/>
    <w:rsid w:val="00635F30"/>
    <w:rsid w:val="00636004"/>
    <w:rsid w:val="00636A77"/>
    <w:rsid w:val="00636CF5"/>
    <w:rsid w:val="00636E9E"/>
    <w:rsid w:val="006371EB"/>
    <w:rsid w:val="0063798E"/>
    <w:rsid w:val="006404E9"/>
    <w:rsid w:val="00640537"/>
    <w:rsid w:val="00640D50"/>
    <w:rsid w:val="00640E5B"/>
    <w:rsid w:val="00641273"/>
    <w:rsid w:val="00641598"/>
    <w:rsid w:val="006422DD"/>
    <w:rsid w:val="00642AA3"/>
    <w:rsid w:val="00642C1A"/>
    <w:rsid w:val="00642E2E"/>
    <w:rsid w:val="00642F0B"/>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54"/>
    <w:rsid w:val="006542E6"/>
    <w:rsid w:val="006544E2"/>
    <w:rsid w:val="00654938"/>
    <w:rsid w:val="00655F48"/>
    <w:rsid w:val="00655FFE"/>
    <w:rsid w:val="00656069"/>
    <w:rsid w:val="00656419"/>
    <w:rsid w:val="006564BD"/>
    <w:rsid w:val="00656916"/>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3EA3"/>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ADF"/>
    <w:rsid w:val="00673C39"/>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95C"/>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0E61"/>
    <w:rsid w:val="006A145D"/>
    <w:rsid w:val="006A1712"/>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100"/>
    <w:rsid w:val="006B4C44"/>
    <w:rsid w:val="006B4CED"/>
    <w:rsid w:val="006B506F"/>
    <w:rsid w:val="006B5538"/>
    <w:rsid w:val="006B564C"/>
    <w:rsid w:val="006B5B66"/>
    <w:rsid w:val="006B5BBF"/>
    <w:rsid w:val="006B5EB5"/>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9C9"/>
    <w:rsid w:val="006E2A08"/>
    <w:rsid w:val="006E2AC1"/>
    <w:rsid w:val="006E2EE1"/>
    <w:rsid w:val="006E34B7"/>
    <w:rsid w:val="006E3DEB"/>
    <w:rsid w:val="006E3E09"/>
    <w:rsid w:val="006E42F9"/>
    <w:rsid w:val="006E430D"/>
    <w:rsid w:val="006E4530"/>
    <w:rsid w:val="006E4CC3"/>
    <w:rsid w:val="006E56DB"/>
    <w:rsid w:val="006E5757"/>
    <w:rsid w:val="006E5CF9"/>
    <w:rsid w:val="006E5DF1"/>
    <w:rsid w:val="006E6262"/>
    <w:rsid w:val="006E628B"/>
    <w:rsid w:val="006E6AA7"/>
    <w:rsid w:val="006E72A4"/>
    <w:rsid w:val="006E741B"/>
    <w:rsid w:val="006E79F3"/>
    <w:rsid w:val="006E7C97"/>
    <w:rsid w:val="006E7D95"/>
    <w:rsid w:val="006E7DB1"/>
    <w:rsid w:val="006E7FD2"/>
    <w:rsid w:val="006F0835"/>
    <w:rsid w:val="006F0AEA"/>
    <w:rsid w:val="006F15D0"/>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740"/>
    <w:rsid w:val="006F6D72"/>
    <w:rsid w:val="006F6FCA"/>
    <w:rsid w:val="006F7583"/>
    <w:rsid w:val="006F7B47"/>
    <w:rsid w:val="006F7E3B"/>
    <w:rsid w:val="0070001C"/>
    <w:rsid w:val="007000C0"/>
    <w:rsid w:val="00700D21"/>
    <w:rsid w:val="00700E6B"/>
    <w:rsid w:val="0070176A"/>
    <w:rsid w:val="00701B81"/>
    <w:rsid w:val="00701C37"/>
    <w:rsid w:val="00702412"/>
    <w:rsid w:val="00702434"/>
    <w:rsid w:val="00702BD1"/>
    <w:rsid w:val="00702EDA"/>
    <w:rsid w:val="00702FC9"/>
    <w:rsid w:val="007034FA"/>
    <w:rsid w:val="00703659"/>
    <w:rsid w:val="00703843"/>
    <w:rsid w:val="00703891"/>
    <w:rsid w:val="00703A2A"/>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2F2"/>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621"/>
    <w:rsid w:val="007318D2"/>
    <w:rsid w:val="007319EA"/>
    <w:rsid w:val="00731A85"/>
    <w:rsid w:val="00731D6D"/>
    <w:rsid w:val="00731F70"/>
    <w:rsid w:val="00731FE3"/>
    <w:rsid w:val="00732362"/>
    <w:rsid w:val="0073294B"/>
    <w:rsid w:val="00732D7B"/>
    <w:rsid w:val="0073339C"/>
    <w:rsid w:val="0073377F"/>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3C36"/>
    <w:rsid w:val="0076446C"/>
    <w:rsid w:val="0076460B"/>
    <w:rsid w:val="00764939"/>
    <w:rsid w:val="00764A54"/>
    <w:rsid w:val="00764C78"/>
    <w:rsid w:val="00764D34"/>
    <w:rsid w:val="00764E83"/>
    <w:rsid w:val="0076567F"/>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DE5"/>
    <w:rsid w:val="00776075"/>
    <w:rsid w:val="007762A1"/>
    <w:rsid w:val="0077632B"/>
    <w:rsid w:val="007768F1"/>
    <w:rsid w:val="00776D21"/>
    <w:rsid w:val="00776ED8"/>
    <w:rsid w:val="00777053"/>
    <w:rsid w:val="007772CE"/>
    <w:rsid w:val="007776C7"/>
    <w:rsid w:val="00780391"/>
    <w:rsid w:val="00781B8D"/>
    <w:rsid w:val="00781E7B"/>
    <w:rsid w:val="0078206C"/>
    <w:rsid w:val="00782203"/>
    <w:rsid w:val="00782227"/>
    <w:rsid w:val="00782320"/>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05"/>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524"/>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68FD"/>
    <w:rsid w:val="007B6BA6"/>
    <w:rsid w:val="007B6F00"/>
    <w:rsid w:val="007B6FA2"/>
    <w:rsid w:val="007B787C"/>
    <w:rsid w:val="007B795B"/>
    <w:rsid w:val="007C0937"/>
    <w:rsid w:val="007C1384"/>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3E6"/>
    <w:rsid w:val="007C74DD"/>
    <w:rsid w:val="007C76B1"/>
    <w:rsid w:val="007C7D7A"/>
    <w:rsid w:val="007D0082"/>
    <w:rsid w:val="007D088D"/>
    <w:rsid w:val="007D0F59"/>
    <w:rsid w:val="007D12C1"/>
    <w:rsid w:val="007D13C2"/>
    <w:rsid w:val="007D1546"/>
    <w:rsid w:val="007D17E3"/>
    <w:rsid w:val="007D1AEA"/>
    <w:rsid w:val="007D2084"/>
    <w:rsid w:val="007D3EF8"/>
    <w:rsid w:val="007D3F5B"/>
    <w:rsid w:val="007D4BEF"/>
    <w:rsid w:val="007D4F07"/>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F85"/>
    <w:rsid w:val="007E34AB"/>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26C4"/>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2DE"/>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D15"/>
    <w:rsid w:val="00844EAB"/>
    <w:rsid w:val="00844F24"/>
    <w:rsid w:val="008454B5"/>
    <w:rsid w:val="00845692"/>
    <w:rsid w:val="008456EB"/>
    <w:rsid w:val="00845710"/>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9F7"/>
    <w:rsid w:val="00851A14"/>
    <w:rsid w:val="00852B56"/>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1F8F"/>
    <w:rsid w:val="00862061"/>
    <w:rsid w:val="008624EA"/>
    <w:rsid w:val="008626EC"/>
    <w:rsid w:val="00862AD8"/>
    <w:rsid w:val="00862D15"/>
    <w:rsid w:val="00862F5D"/>
    <w:rsid w:val="008635AC"/>
    <w:rsid w:val="00863750"/>
    <w:rsid w:val="008637D9"/>
    <w:rsid w:val="00863A68"/>
    <w:rsid w:val="00863EFA"/>
    <w:rsid w:val="008640E5"/>
    <w:rsid w:val="0086411C"/>
    <w:rsid w:val="008642D6"/>
    <w:rsid w:val="00864B69"/>
    <w:rsid w:val="00864CF3"/>
    <w:rsid w:val="00865088"/>
    <w:rsid w:val="0086515E"/>
    <w:rsid w:val="008653D0"/>
    <w:rsid w:val="0086639A"/>
    <w:rsid w:val="00866A4B"/>
    <w:rsid w:val="008671FF"/>
    <w:rsid w:val="00867347"/>
    <w:rsid w:val="00867491"/>
    <w:rsid w:val="00867BBC"/>
    <w:rsid w:val="00867BD8"/>
    <w:rsid w:val="00867C69"/>
    <w:rsid w:val="008703FC"/>
    <w:rsid w:val="0087109B"/>
    <w:rsid w:val="008712DE"/>
    <w:rsid w:val="008724C4"/>
    <w:rsid w:val="0087285C"/>
    <w:rsid w:val="0087298D"/>
    <w:rsid w:val="008730D2"/>
    <w:rsid w:val="00873BE9"/>
    <w:rsid w:val="00873D5A"/>
    <w:rsid w:val="00874C1B"/>
    <w:rsid w:val="00874F18"/>
    <w:rsid w:val="00874F8B"/>
    <w:rsid w:val="008750F3"/>
    <w:rsid w:val="00875538"/>
    <w:rsid w:val="00875D1B"/>
    <w:rsid w:val="00875DB6"/>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BB5"/>
    <w:rsid w:val="00884CC1"/>
    <w:rsid w:val="0088566F"/>
    <w:rsid w:val="0088590C"/>
    <w:rsid w:val="00885C1C"/>
    <w:rsid w:val="00885EC1"/>
    <w:rsid w:val="0088617D"/>
    <w:rsid w:val="008861B0"/>
    <w:rsid w:val="008866E3"/>
    <w:rsid w:val="00886F21"/>
    <w:rsid w:val="00886F50"/>
    <w:rsid w:val="0088718B"/>
    <w:rsid w:val="00887238"/>
    <w:rsid w:val="008878A7"/>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F2E"/>
    <w:rsid w:val="008A50FD"/>
    <w:rsid w:val="008A5259"/>
    <w:rsid w:val="008A53B5"/>
    <w:rsid w:val="008A5F62"/>
    <w:rsid w:val="008A6323"/>
    <w:rsid w:val="008A688D"/>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01"/>
    <w:rsid w:val="008D1D6A"/>
    <w:rsid w:val="008D2354"/>
    <w:rsid w:val="008D28BD"/>
    <w:rsid w:val="008D2EE6"/>
    <w:rsid w:val="008D2EFF"/>
    <w:rsid w:val="008D2F52"/>
    <w:rsid w:val="008D3914"/>
    <w:rsid w:val="008D3D9C"/>
    <w:rsid w:val="008D45DD"/>
    <w:rsid w:val="008D5323"/>
    <w:rsid w:val="008D5B54"/>
    <w:rsid w:val="008D5D0C"/>
    <w:rsid w:val="008D6240"/>
    <w:rsid w:val="008D65C0"/>
    <w:rsid w:val="008D7EEA"/>
    <w:rsid w:val="008E04A9"/>
    <w:rsid w:val="008E07C0"/>
    <w:rsid w:val="008E0B6C"/>
    <w:rsid w:val="008E0C87"/>
    <w:rsid w:val="008E0CC2"/>
    <w:rsid w:val="008E0FC5"/>
    <w:rsid w:val="008E1BF6"/>
    <w:rsid w:val="008E2980"/>
    <w:rsid w:val="008E2A77"/>
    <w:rsid w:val="008E2E7F"/>
    <w:rsid w:val="008E3609"/>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386"/>
    <w:rsid w:val="008E7410"/>
    <w:rsid w:val="008E7902"/>
    <w:rsid w:val="008E7D53"/>
    <w:rsid w:val="008E7E26"/>
    <w:rsid w:val="008E7F96"/>
    <w:rsid w:val="008F05BC"/>
    <w:rsid w:val="008F0C64"/>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8F9"/>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A77"/>
    <w:rsid w:val="00903D02"/>
    <w:rsid w:val="00903D0C"/>
    <w:rsid w:val="00903DD3"/>
    <w:rsid w:val="00904573"/>
    <w:rsid w:val="009048CB"/>
    <w:rsid w:val="00904BA6"/>
    <w:rsid w:val="00904C56"/>
    <w:rsid w:val="00904D49"/>
    <w:rsid w:val="00905653"/>
    <w:rsid w:val="00905AB9"/>
    <w:rsid w:val="0090624D"/>
    <w:rsid w:val="009065BA"/>
    <w:rsid w:val="00906A9A"/>
    <w:rsid w:val="00906B4C"/>
    <w:rsid w:val="00906C2F"/>
    <w:rsid w:val="00906ECE"/>
    <w:rsid w:val="009070E0"/>
    <w:rsid w:val="0090735F"/>
    <w:rsid w:val="00907487"/>
    <w:rsid w:val="00907513"/>
    <w:rsid w:val="00907734"/>
    <w:rsid w:val="00910973"/>
    <w:rsid w:val="00910E21"/>
    <w:rsid w:val="00911191"/>
    <w:rsid w:val="00911240"/>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A03"/>
    <w:rsid w:val="00917C56"/>
    <w:rsid w:val="009200B6"/>
    <w:rsid w:val="009201E0"/>
    <w:rsid w:val="0092040A"/>
    <w:rsid w:val="00920E12"/>
    <w:rsid w:val="00921128"/>
    <w:rsid w:val="009213A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603E"/>
    <w:rsid w:val="00926115"/>
    <w:rsid w:val="0092633F"/>
    <w:rsid w:val="009266EE"/>
    <w:rsid w:val="009267EE"/>
    <w:rsid w:val="0092681A"/>
    <w:rsid w:val="00926A4E"/>
    <w:rsid w:val="00926F52"/>
    <w:rsid w:val="00927193"/>
    <w:rsid w:val="00927260"/>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5E5"/>
    <w:rsid w:val="00935E29"/>
    <w:rsid w:val="00935EB4"/>
    <w:rsid w:val="00935F7F"/>
    <w:rsid w:val="0093656D"/>
    <w:rsid w:val="009366B6"/>
    <w:rsid w:val="00936838"/>
    <w:rsid w:val="00936EA9"/>
    <w:rsid w:val="0093764E"/>
    <w:rsid w:val="0094017A"/>
    <w:rsid w:val="0094056A"/>
    <w:rsid w:val="00940D42"/>
    <w:rsid w:val="00940F8E"/>
    <w:rsid w:val="009410F3"/>
    <w:rsid w:val="009414C0"/>
    <w:rsid w:val="009415FE"/>
    <w:rsid w:val="0094171F"/>
    <w:rsid w:val="009421AA"/>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42E"/>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0B3"/>
    <w:rsid w:val="0095452B"/>
    <w:rsid w:val="00954BFE"/>
    <w:rsid w:val="009556A3"/>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F43"/>
    <w:rsid w:val="00967345"/>
    <w:rsid w:val="00967451"/>
    <w:rsid w:val="009675BE"/>
    <w:rsid w:val="00967815"/>
    <w:rsid w:val="009678BB"/>
    <w:rsid w:val="00967A47"/>
    <w:rsid w:val="0097006F"/>
    <w:rsid w:val="009709A2"/>
    <w:rsid w:val="00970B7E"/>
    <w:rsid w:val="00970CEE"/>
    <w:rsid w:val="00971540"/>
    <w:rsid w:val="00971763"/>
    <w:rsid w:val="00971858"/>
    <w:rsid w:val="00972143"/>
    <w:rsid w:val="009729D1"/>
    <w:rsid w:val="00972B54"/>
    <w:rsid w:val="00972C07"/>
    <w:rsid w:val="009732EA"/>
    <w:rsid w:val="00973308"/>
    <w:rsid w:val="00973607"/>
    <w:rsid w:val="00973858"/>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825"/>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303"/>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060"/>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63"/>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901"/>
    <w:rsid w:val="009C4A9F"/>
    <w:rsid w:val="009C4C25"/>
    <w:rsid w:val="009C4C78"/>
    <w:rsid w:val="009C4E33"/>
    <w:rsid w:val="009C521B"/>
    <w:rsid w:val="009C5872"/>
    <w:rsid w:val="009C5F31"/>
    <w:rsid w:val="009C646D"/>
    <w:rsid w:val="009C675D"/>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A01"/>
    <w:rsid w:val="009F2AD3"/>
    <w:rsid w:val="009F2DD1"/>
    <w:rsid w:val="009F2FD3"/>
    <w:rsid w:val="009F356D"/>
    <w:rsid w:val="009F3F08"/>
    <w:rsid w:val="009F48C7"/>
    <w:rsid w:val="009F4CE1"/>
    <w:rsid w:val="009F523C"/>
    <w:rsid w:val="009F530B"/>
    <w:rsid w:val="009F57A3"/>
    <w:rsid w:val="009F59B8"/>
    <w:rsid w:val="009F5A6F"/>
    <w:rsid w:val="009F5C42"/>
    <w:rsid w:val="009F5EB5"/>
    <w:rsid w:val="009F6359"/>
    <w:rsid w:val="009F6AC9"/>
    <w:rsid w:val="009F6C52"/>
    <w:rsid w:val="009F6E94"/>
    <w:rsid w:val="009F70A8"/>
    <w:rsid w:val="009F7867"/>
    <w:rsid w:val="009F794D"/>
    <w:rsid w:val="009F796E"/>
    <w:rsid w:val="00A004EE"/>
    <w:rsid w:val="00A0095B"/>
    <w:rsid w:val="00A00B55"/>
    <w:rsid w:val="00A015B5"/>
    <w:rsid w:val="00A01895"/>
    <w:rsid w:val="00A01AE7"/>
    <w:rsid w:val="00A021CF"/>
    <w:rsid w:val="00A02862"/>
    <w:rsid w:val="00A03C02"/>
    <w:rsid w:val="00A03D98"/>
    <w:rsid w:val="00A03DA3"/>
    <w:rsid w:val="00A03F1F"/>
    <w:rsid w:val="00A0425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61D"/>
    <w:rsid w:val="00A31D66"/>
    <w:rsid w:val="00A31E5C"/>
    <w:rsid w:val="00A324FA"/>
    <w:rsid w:val="00A325A4"/>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27B"/>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B5A"/>
    <w:rsid w:val="00A44FB5"/>
    <w:rsid w:val="00A4562F"/>
    <w:rsid w:val="00A4579D"/>
    <w:rsid w:val="00A45828"/>
    <w:rsid w:val="00A45A9D"/>
    <w:rsid w:val="00A45AB6"/>
    <w:rsid w:val="00A45C54"/>
    <w:rsid w:val="00A46127"/>
    <w:rsid w:val="00A4652A"/>
    <w:rsid w:val="00A46582"/>
    <w:rsid w:val="00A46802"/>
    <w:rsid w:val="00A4691B"/>
    <w:rsid w:val="00A46A3D"/>
    <w:rsid w:val="00A46CBB"/>
    <w:rsid w:val="00A47639"/>
    <w:rsid w:val="00A477DD"/>
    <w:rsid w:val="00A47D79"/>
    <w:rsid w:val="00A47FEC"/>
    <w:rsid w:val="00A507CE"/>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56"/>
    <w:rsid w:val="00A55C76"/>
    <w:rsid w:val="00A55E2B"/>
    <w:rsid w:val="00A561A8"/>
    <w:rsid w:val="00A56371"/>
    <w:rsid w:val="00A565FA"/>
    <w:rsid w:val="00A56C97"/>
    <w:rsid w:val="00A56D92"/>
    <w:rsid w:val="00A56E9D"/>
    <w:rsid w:val="00A56F25"/>
    <w:rsid w:val="00A571B3"/>
    <w:rsid w:val="00A5746B"/>
    <w:rsid w:val="00A575B1"/>
    <w:rsid w:val="00A5766D"/>
    <w:rsid w:val="00A579FB"/>
    <w:rsid w:val="00A57AD2"/>
    <w:rsid w:val="00A57C7C"/>
    <w:rsid w:val="00A57D45"/>
    <w:rsid w:val="00A57F25"/>
    <w:rsid w:val="00A60031"/>
    <w:rsid w:val="00A6038A"/>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86A"/>
    <w:rsid w:val="00A6737E"/>
    <w:rsid w:val="00A6793A"/>
    <w:rsid w:val="00A6795A"/>
    <w:rsid w:val="00A67A92"/>
    <w:rsid w:val="00A70457"/>
    <w:rsid w:val="00A704C4"/>
    <w:rsid w:val="00A7098A"/>
    <w:rsid w:val="00A70D38"/>
    <w:rsid w:val="00A70F33"/>
    <w:rsid w:val="00A71083"/>
    <w:rsid w:val="00A7117A"/>
    <w:rsid w:val="00A71219"/>
    <w:rsid w:val="00A7121F"/>
    <w:rsid w:val="00A715DB"/>
    <w:rsid w:val="00A718F3"/>
    <w:rsid w:val="00A72545"/>
    <w:rsid w:val="00A729F1"/>
    <w:rsid w:val="00A72CF5"/>
    <w:rsid w:val="00A72EC9"/>
    <w:rsid w:val="00A72ECB"/>
    <w:rsid w:val="00A7393D"/>
    <w:rsid w:val="00A73C9F"/>
    <w:rsid w:val="00A74239"/>
    <w:rsid w:val="00A7488A"/>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65DD"/>
    <w:rsid w:val="00A86618"/>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4C7C"/>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BF5"/>
    <w:rsid w:val="00AA5D5A"/>
    <w:rsid w:val="00AA5D82"/>
    <w:rsid w:val="00AA5EE1"/>
    <w:rsid w:val="00AA62F5"/>
    <w:rsid w:val="00AA68C6"/>
    <w:rsid w:val="00AA69C3"/>
    <w:rsid w:val="00AA6F6B"/>
    <w:rsid w:val="00AA7189"/>
    <w:rsid w:val="00AA7214"/>
    <w:rsid w:val="00AA7C13"/>
    <w:rsid w:val="00AA7C36"/>
    <w:rsid w:val="00AA7F2A"/>
    <w:rsid w:val="00AB0BA1"/>
    <w:rsid w:val="00AB0FC3"/>
    <w:rsid w:val="00AB1219"/>
    <w:rsid w:val="00AB1C3E"/>
    <w:rsid w:val="00AB202E"/>
    <w:rsid w:val="00AB2340"/>
    <w:rsid w:val="00AB2B89"/>
    <w:rsid w:val="00AB2CE1"/>
    <w:rsid w:val="00AB2E3F"/>
    <w:rsid w:val="00AB30F8"/>
    <w:rsid w:val="00AB3261"/>
    <w:rsid w:val="00AB3598"/>
    <w:rsid w:val="00AB3735"/>
    <w:rsid w:val="00AB448A"/>
    <w:rsid w:val="00AB47DF"/>
    <w:rsid w:val="00AB4A65"/>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788"/>
    <w:rsid w:val="00AC5C7A"/>
    <w:rsid w:val="00AC5DCE"/>
    <w:rsid w:val="00AC5E96"/>
    <w:rsid w:val="00AC5F78"/>
    <w:rsid w:val="00AC5FA3"/>
    <w:rsid w:val="00AC6667"/>
    <w:rsid w:val="00AC68EA"/>
    <w:rsid w:val="00AC6B72"/>
    <w:rsid w:val="00AC6C33"/>
    <w:rsid w:val="00AC6D41"/>
    <w:rsid w:val="00AC6DD5"/>
    <w:rsid w:val="00AC6E2D"/>
    <w:rsid w:val="00AC7D0C"/>
    <w:rsid w:val="00AC7ECE"/>
    <w:rsid w:val="00AD0BF4"/>
    <w:rsid w:val="00AD0F0B"/>
    <w:rsid w:val="00AD1783"/>
    <w:rsid w:val="00AD195C"/>
    <w:rsid w:val="00AD199C"/>
    <w:rsid w:val="00AD1AD1"/>
    <w:rsid w:val="00AD1C47"/>
    <w:rsid w:val="00AD1C8C"/>
    <w:rsid w:val="00AD1E94"/>
    <w:rsid w:val="00AD213F"/>
    <w:rsid w:val="00AD2199"/>
    <w:rsid w:val="00AD27B6"/>
    <w:rsid w:val="00AD29E4"/>
    <w:rsid w:val="00AD2A87"/>
    <w:rsid w:val="00AD2CCC"/>
    <w:rsid w:val="00AD36FD"/>
    <w:rsid w:val="00AD374D"/>
    <w:rsid w:val="00AD3758"/>
    <w:rsid w:val="00AD3805"/>
    <w:rsid w:val="00AD3F0E"/>
    <w:rsid w:val="00AD406B"/>
    <w:rsid w:val="00AD408A"/>
    <w:rsid w:val="00AD4269"/>
    <w:rsid w:val="00AD4503"/>
    <w:rsid w:val="00AD460F"/>
    <w:rsid w:val="00AD4832"/>
    <w:rsid w:val="00AD4CD5"/>
    <w:rsid w:val="00AD4DC3"/>
    <w:rsid w:val="00AD561D"/>
    <w:rsid w:val="00AD5A95"/>
    <w:rsid w:val="00AD5CF2"/>
    <w:rsid w:val="00AD5DB3"/>
    <w:rsid w:val="00AD6B3E"/>
    <w:rsid w:val="00AD6C61"/>
    <w:rsid w:val="00AD6F2B"/>
    <w:rsid w:val="00AD7A72"/>
    <w:rsid w:val="00AD7B61"/>
    <w:rsid w:val="00AD7E7C"/>
    <w:rsid w:val="00AE03BB"/>
    <w:rsid w:val="00AE0533"/>
    <w:rsid w:val="00AE060C"/>
    <w:rsid w:val="00AE0C39"/>
    <w:rsid w:val="00AE0FD3"/>
    <w:rsid w:val="00AE17F6"/>
    <w:rsid w:val="00AE296B"/>
    <w:rsid w:val="00AE2AD8"/>
    <w:rsid w:val="00AE2CA0"/>
    <w:rsid w:val="00AE2FD2"/>
    <w:rsid w:val="00AE3232"/>
    <w:rsid w:val="00AE3276"/>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243"/>
    <w:rsid w:val="00B07AC8"/>
    <w:rsid w:val="00B07B03"/>
    <w:rsid w:val="00B07DA1"/>
    <w:rsid w:val="00B07E76"/>
    <w:rsid w:val="00B1000D"/>
    <w:rsid w:val="00B1022D"/>
    <w:rsid w:val="00B10C67"/>
    <w:rsid w:val="00B10F46"/>
    <w:rsid w:val="00B11063"/>
    <w:rsid w:val="00B11091"/>
    <w:rsid w:val="00B112EB"/>
    <w:rsid w:val="00B1134B"/>
    <w:rsid w:val="00B1144B"/>
    <w:rsid w:val="00B121D2"/>
    <w:rsid w:val="00B12D83"/>
    <w:rsid w:val="00B13328"/>
    <w:rsid w:val="00B13A88"/>
    <w:rsid w:val="00B13B64"/>
    <w:rsid w:val="00B13F9D"/>
    <w:rsid w:val="00B1438A"/>
    <w:rsid w:val="00B144EC"/>
    <w:rsid w:val="00B14BE6"/>
    <w:rsid w:val="00B154D7"/>
    <w:rsid w:val="00B1608F"/>
    <w:rsid w:val="00B160B8"/>
    <w:rsid w:val="00B164C6"/>
    <w:rsid w:val="00B168CF"/>
    <w:rsid w:val="00B17141"/>
    <w:rsid w:val="00B172AB"/>
    <w:rsid w:val="00B176CD"/>
    <w:rsid w:val="00B17810"/>
    <w:rsid w:val="00B17CAF"/>
    <w:rsid w:val="00B20B7A"/>
    <w:rsid w:val="00B20D5C"/>
    <w:rsid w:val="00B20FDF"/>
    <w:rsid w:val="00B2156C"/>
    <w:rsid w:val="00B21EFC"/>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8AC"/>
    <w:rsid w:val="00B349EE"/>
    <w:rsid w:val="00B34B34"/>
    <w:rsid w:val="00B34C40"/>
    <w:rsid w:val="00B3524C"/>
    <w:rsid w:val="00B353E7"/>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38E"/>
    <w:rsid w:val="00B54EAD"/>
    <w:rsid w:val="00B552AB"/>
    <w:rsid w:val="00B55317"/>
    <w:rsid w:val="00B55B3A"/>
    <w:rsid w:val="00B55D55"/>
    <w:rsid w:val="00B55E2E"/>
    <w:rsid w:val="00B56071"/>
    <w:rsid w:val="00B5683F"/>
    <w:rsid w:val="00B577B4"/>
    <w:rsid w:val="00B601FD"/>
    <w:rsid w:val="00B60686"/>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A7D"/>
    <w:rsid w:val="00B70CB8"/>
    <w:rsid w:val="00B70FFC"/>
    <w:rsid w:val="00B71689"/>
    <w:rsid w:val="00B71CEF"/>
    <w:rsid w:val="00B725A5"/>
    <w:rsid w:val="00B72693"/>
    <w:rsid w:val="00B72CC6"/>
    <w:rsid w:val="00B73719"/>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DC3"/>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20"/>
    <w:rsid w:val="00B872A0"/>
    <w:rsid w:val="00B877B8"/>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775"/>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D76"/>
    <w:rsid w:val="00BC1F69"/>
    <w:rsid w:val="00BC21AF"/>
    <w:rsid w:val="00BC2422"/>
    <w:rsid w:val="00BC2503"/>
    <w:rsid w:val="00BC290E"/>
    <w:rsid w:val="00BC2D0C"/>
    <w:rsid w:val="00BC2FA5"/>
    <w:rsid w:val="00BC35A2"/>
    <w:rsid w:val="00BC427C"/>
    <w:rsid w:val="00BC42E3"/>
    <w:rsid w:val="00BC46CF"/>
    <w:rsid w:val="00BC47C6"/>
    <w:rsid w:val="00BC48A8"/>
    <w:rsid w:val="00BC49EF"/>
    <w:rsid w:val="00BC5AF9"/>
    <w:rsid w:val="00BC5E44"/>
    <w:rsid w:val="00BC60EF"/>
    <w:rsid w:val="00BC6667"/>
    <w:rsid w:val="00BC6763"/>
    <w:rsid w:val="00BC79D4"/>
    <w:rsid w:val="00BD04AC"/>
    <w:rsid w:val="00BD0526"/>
    <w:rsid w:val="00BD075A"/>
    <w:rsid w:val="00BD09BA"/>
    <w:rsid w:val="00BD0A21"/>
    <w:rsid w:val="00BD0E7B"/>
    <w:rsid w:val="00BD0EDB"/>
    <w:rsid w:val="00BD1622"/>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119"/>
    <w:rsid w:val="00BE05E2"/>
    <w:rsid w:val="00BE060B"/>
    <w:rsid w:val="00BE06ED"/>
    <w:rsid w:val="00BE0BA5"/>
    <w:rsid w:val="00BE0C04"/>
    <w:rsid w:val="00BE0CBF"/>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0F93"/>
    <w:rsid w:val="00BF216B"/>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1A38"/>
    <w:rsid w:val="00C02039"/>
    <w:rsid w:val="00C022E5"/>
    <w:rsid w:val="00C024C9"/>
    <w:rsid w:val="00C02696"/>
    <w:rsid w:val="00C02B62"/>
    <w:rsid w:val="00C03759"/>
    <w:rsid w:val="00C0382C"/>
    <w:rsid w:val="00C04630"/>
    <w:rsid w:val="00C04999"/>
    <w:rsid w:val="00C04F87"/>
    <w:rsid w:val="00C0531F"/>
    <w:rsid w:val="00C06407"/>
    <w:rsid w:val="00C06E91"/>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87"/>
    <w:rsid w:val="00C2388A"/>
    <w:rsid w:val="00C24116"/>
    <w:rsid w:val="00C247C4"/>
    <w:rsid w:val="00C247FD"/>
    <w:rsid w:val="00C24EF5"/>
    <w:rsid w:val="00C258B1"/>
    <w:rsid w:val="00C2657B"/>
    <w:rsid w:val="00C266A8"/>
    <w:rsid w:val="00C26A79"/>
    <w:rsid w:val="00C272D4"/>
    <w:rsid w:val="00C2737B"/>
    <w:rsid w:val="00C274CE"/>
    <w:rsid w:val="00C27577"/>
    <w:rsid w:val="00C2796B"/>
    <w:rsid w:val="00C27B00"/>
    <w:rsid w:val="00C3000D"/>
    <w:rsid w:val="00C30514"/>
    <w:rsid w:val="00C30783"/>
    <w:rsid w:val="00C3093C"/>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DEC"/>
    <w:rsid w:val="00C52EB1"/>
    <w:rsid w:val="00C53230"/>
    <w:rsid w:val="00C53622"/>
    <w:rsid w:val="00C539D2"/>
    <w:rsid w:val="00C54465"/>
    <w:rsid w:val="00C54CE2"/>
    <w:rsid w:val="00C54E9E"/>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B52"/>
    <w:rsid w:val="00C64CA7"/>
    <w:rsid w:val="00C65023"/>
    <w:rsid w:val="00C65515"/>
    <w:rsid w:val="00C655FF"/>
    <w:rsid w:val="00C6569E"/>
    <w:rsid w:val="00C65AA9"/>
    <w:rsid w:val="00C65BA6"/>
    <w:rsid w:val="00C65CFC"/>
    <w:rsid w:val="00C662EF"/>
    <w:rsid w:val="00C664B1"/>
    <w:rsid w:val="00C66A58"/>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E00"/>
    <w:rsid w:val="00C95637"/>
    <w:rsid w:val="00C95CEB"/>
    <w:rsid w:val="00C95DFF"/>
    <w:rsid w:val="00C95F6B"/>
    <w:rsid w:val="00C95F80"/>
    <w:rsid w:val="00C96785"/>
    <w:rsid w:val="00C97AD2"/>
    <w:rsid w:val="00C97B38"/>
    <w:rsid w:val="00C97CF9"/>
    <w:rsid w:val="00CA03C3"/>
    <w:rsid w:val="00CA061A"/>
    <w:rsid w:val="00CA0820"/>
    <w:rsid w:val="00CA0A11"/>
    <w:rsid w:val="00CA0B6E"/>
    <w:rsid w:val="00CA1962"/>
    <w:rsid w:val="00CA1B2A"/>
    <w:rsid w:val="00CA2430"/>
    <w:rsid w:val="00CA2F35"/>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50C"/>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C6F"/>
    <w:rsid w:val="00CB7010"/>
    <w:rsid w:val="00CB72A3"/>
    <w:rsid w:val="00CB74F6"/>
    <w:rsid w:val="00CB75B3"/>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0F24"/>
    <w:rsid w:val="00CD1DA0"/>
    <w:rsid w:val="00CD2DFF"/>
    <w:rsid w:val="00CD30D1"/>
    <w:rsid w:val="00CD3373"/>
    <w:rsid w:val="00CD35EF"/>
    <w:rsid w:val="00CD3C5B"/>
    <w:rsid w:val="00CD3CFE"/>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D7D11"/>
    <w:rsid w:val="00CE00CD"/>
    <w:rsid w:val="00CE02D1"/>
    <w:rsid w:val="00CE045B"/>
    <w:rsid w:val="00CE08D3"/>
    <w:rsid w:val="00CE0A9A"/>
    <w:rsid w:val="00CE0C6E"/>
    <w:rsid w:val="00CE0E22"/>
    <w:rsid w:val="00CE0FC6"/>
    <w:rsid w:val="00CE1267"/>
    <w:rsid w:val="00CE1427"/>
    <w:rsid w:val="00CE1A4A"/>
    <w:rsid w:val="00CE1B77"/>
    <w:rsid w:val="00CE1E03"/>
    <w:rsid w:val="00CE2C7B"/>
    <w:rsid w:val="00CE33C9"/>
    <w:rsid w:val="00CE3686"/>
    <w:rsid w:val="00CE393C"/>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0CE8"/>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CF72E4"/>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32FD"/>
    <w:rsid w:val="00D2337B"/>
    <w:rsid w:val="00D23969"/>
    <w:rsid w:val="00D23AA3"/>
    <w:rsid w:val="00D23F3D"/>
    <w:rsid w:val="00D2487E"/>
    <w:rsid w:val="00D24988"/>
    <w:rsid w:val="00D24B65"/>
    <w:rsid w:val="00D24D7B"/>
    <w:rsid w:val="00D252ED"/>
    <w:rsid w:val="00D2631C"/>
    <w:rsid w:val="00D26663"/>
    <w:rsid w:val="00D271A5"/>
    <w:rsid w:val="00D27C84"/>
    <w:rsid w:val="00D27C97"/>
    <w:rsid w:val="00D27D7A"/>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F1D"/>
    <w:rsid w:val="00D50889"/>
    <w:rsid w:val="00D50A54"/>
    <w:rsid w:val="00D5126C"/>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6396"/>
    <w:rsid w:val="00D56A80"/>
    <w:rsid w:val="00D56B1B"/>
    <w:rsid w:val="00D5740A"/>
    <w:rsid w:val="00D57547"/>
    <w:rsid w:val="00D5757A"/>
    <w:rsid w:val="00D57A15"/>
    <w:rsid w:val="00D57E19"/>
    <w:rsid w:val="00D57FDA"/>
    <w:rsid w:val="00D60A11"/>
    <w:rsid w:val="00D60FF7"/>
    <w:rsid w:val="00D610C8"/>
    <w:rsid w:val="00D6199C"/>
    <w:rsid w:val="00D61D90"/>
    <w:rsid w:val="00D61DBA"/>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9D8"/>
    <w:rsid w:val="00D66CB7"/>
    <w:rsid w:val="00D6781E"/>
    <w:rsid w:val="00D67A31"/>
    <w:rsid w:val="00D702CB"/>
    <w:rsid w:val="00D704F1"/>
    <w:rsid w:val="00D70B8C"/>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2589"/>
    <w:rsid w:val="00D8280C"/>
    <w:rsid w:val="00D8298A"/>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F59"/>
    <w:rsid w:val="00D94062"/>
    <w:rsid w:val="00D9435D"/>
    <w:rsid w:val="00D9483C"/>
    <w:rsid w:val="00D94877"/>
    <w:rsid w:val="00D94E33"/>
    <w:rsid w:val="00D95037"/>
    <w:rsid w:val="00D95419"/>
    <w:rsid w:val="00D954D5"/>
    <w:rsid w:val="00D957C8"/>
    <w:rsid w:val="00D9593C"/>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B4"/>
    <w:rsid w:val="00DA046C"/>
    <w:rsid w:val="00DA0D89"/>
    <w:rsid w:val="00DA14BE"/>
    <w:rsid w:val="00DA14C7"/>
    <w:rsid w:val="00DA1D7F"/>
    <w:rsid w:val="00DA1F6F"/>
    <w:rsid w:val="00DA2010"/>
    <w:rsid w:val="00DA2A6A"/>
    <w:rsid w:val="00DA2AB6"/>
    <w:rsid w:val="00DA2DF2"/>
    <w:rsid w:val="00DA2E73"/>
    <w:rsid w:val="00DA3059"/>
    <w:rsid w:val="00DA32E5"/>
    <w:rsid w:val="00DA371C"/>
    <w:rsid w:val="00DA39A5"/>
    <w:rsid w:val="00DA3ECB"/>
    <w:rsid w:val="00DA4032"/>
    <w:rsid w:val="00DA4453"/>
    <w:rsid w:val="00DA4699"/>
    <w:rsid w:val="00DA47E2"/>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3275"/>
    <w:rsid w:val="00DB3D2C"/>
    <w:rsid w:val="00DB3D9D"/>
    <w:rsid w:val="00DB3E04"/>
    <w:rsid w:val="00DB3E29"/>
    <w:rsid w:val="00DB3FE4"/>
    <w:rsid w:val="00DB407E"/>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4594"/>
    <w:rsid w:val="00DC4D2E"/>
    <w:rsid w:val="00DC5439"/>
    <w:rsid w:val="00DC5794"/>
    <w:rsid w:val="00DC58D7"/>
    <w:rsid w:val="00DC592B"/>
    <w:rsid w:val="00DC5AB5"/>
    <w:rsid w:val="00DC62C4"/>
    <w:rsid w:val="00DC6457"/>
    <w:rsid w:val="00DC686E"/>
    <w:rsid w:val="00DC6C98"/>
    <w:rsid w:val="00DC6D86"/>
    <w:rsid w:val="00DC73F7"/>
    <w:rsid w:val="00DC7493"/>
    <w:rsid w:val="00DC77E2"/>
    <w:rsid w:val="00DC7F11"/>
    <w:rsid w:val="00DC7FCE"/>
    <w:rsid w:val="00DD00F5"/>
    <w:rsid w:val="00DD0442"/>
    <w:rsid w:val="00DD1008"/>
    <w:rsid w:val="00DD14C6"/>
    <w:rsid w:val="00DD14D2"/>
    <w:rsid w:val="00DD164C"/>
    <w:rsid w:val="00DD16BF"/>
    <w:rsid w:val="00DD258D"/>
    <w:rsid w:val="00DD263D"/>
    <w:rsid w:val="00DD3411"/>
    <w:rsid w:val="00DD3696"/>
    <w:rsid w:val="00DD372E"/>
    <w:rsid w:val="00DD3B08"/>
    <w:rsid w:val="00DD3DAD"/>
    <w:rsid w:val="00DD3F7E"/>
    <w:rsid w:val="00DD408F"/>
    <w:rsid w:val="00DD4477"/>
    <w:rsid w:val="00DD45D0"/>
    <w:rsid w:val="00DD4711"/>
    <w:rsid w:val="00DD580F"/>
    <w:rsid w:val="00DD5A73"/>
    <w:rsid w:val="00DD5D12"/>
    <w:rsid w:val="00DD605E"/>
    <w:rsid w:val="00DD6CF5"/>
    <w:rsid w:val="00DD6E8B"/>
    <w:rsid w:val="00DD6F9E"/>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F2"/>
    <w:rsid w:val="00DE6C08"/>
    <w:rsid w:val="00DE6CDB"/>
    <w:rsid w:val="00DE6F6A"/>
    <w:rsid w:val="00DE7103"/>
    <w:rsid w:val="00DE744D"/>
    <w:rsid w:val="00DF06E6"/>
    <w:rsid w:val="00DF0F37"/>
    <w:rsid w:val="00DF186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4AE8"/>
    <w:rsid w:val="00E15043"/>
    <w:rsid w:val="00E15237"/>
    <w:rsid w:val="00E15622"/>
    <w:rsid w:val="00E166C0"/>
    <w:rsid w:val="00E1696F"/>
    <w:rsid w:val="00E17267"/>
    <w:rsid w:val="00E175E8"/>
    <w:rsid w:val="00E17A65"/>
    <w:rsid w:val="00E20189"/>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CF2"/>
    <w:rsid w:val="00E27237"/>
    <w:rsid w:val="00E2766E"/>
    <w:rsid w:val="00E277A5"/>
    <w:rsid w:val="00E27E99"/>
    <w:rsid w:val="00E300F2"/>
    <w:rsid w:val="00E30F98"/>
    <w:rsid w:val="00E30FF3"/>
    <w:rsid w:val="00E310DD"/>
    <w:rsid w:val="00E31238"/>
    <w:rsid w:val="00E316B8"/>
    <w:rsid w:val="00E31A02"/>
    <w:rsid w:val="00E31DDE"/>
    <w:rsid w:val="00E320C5"/>
    <w:rsid w:val="00E326F4"/>
    <w:rsid w:val="00E32F9C"/>
    <w:rsid w:val="00E3300E"/>
    <w:rsid w:val="00E33178"/>
    <w:rsid w:val="00E3320D"/>
    <w:rsid w:val="00E332FF"/>
    <w:rsid w:val="00E3364F"/>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75"/>
    <w:rsid w:val="00E472C5"/>
    <w:rsid w:val="00E47456"/>
    <w:rsid w:val="00E4761D"/>
    <w:rsid w:val="00E47F30"/>
    <w:rsid w:val="00E47F34"/>
    <w:rsid w:val="00E5038B"/>
    <w:rsid w:val="00E50706"/>
    <w:rsid w:val="00E5148F"/>
    <w:rsid w:val="00E51867"/>
    <w:rsid w:val="00E51DB3"/>
    <w:rsid w:val="00E51EFF"/>
    <w:rsid w:val="00E5200A"/>
    <w:rsid w:val="00E526E5"/>
    <w:rsid w:val="00E532A9"/>
    <w:rsid w:val="00E53878"/>
    <w:rsid w:val="00E53BA2"/>
    <w:rsid w:val="00E53F04"/>
    <w:rsid w:val="00E542B9"/>
    <w:rsid w:val="00E5454F"/>
    <w:rsid w:val="00E54E54"/>
    <w:rsid w:val="00E55148"/>
    <w:rsid w:val="00E55541"/>
    <w:rsid w:val="00E55F73"/>
    <w:rsid w:val="00E560B5"/>
    <w:rsid w:val="00E56EE8"/>
    <w:rsid w:val="00E579B2"/>
    <w:rsid w:val="00E601F5"/>
    <w:rsid w:val="00E60264"/>
    <w:rsid w:val="00E607CF"/>
    <w:rsid w:val="00E6092C"/>
    <w:rsid w:val="00E60A9C"/>
    <w:rsid w:val="00E60B1A"/>
    <w:rsid w:val="00E60D46"/>
    <w:rsid w:val="00E60DAC"/>
    <w:rsid w:val="00E60EFA"/>
    <w:rsid w:val="00E60F5A"/>
    <w:rsid w:val="00E61097"/>
    <w:rsid w:val="00E61291"/>
    <w:rsid w:val="00E620ED"/>
    <w:rsid w:val="00E62684"/>
    <w:rsid w:val="00E6305E"/>
    <w:rsid w:val="00E63200"/>
    <w:rsid w:val="00E63385"/>
    <w:rsid w:val="00E633B6"/>
    <w:rsid w:val="00E6355F"/>
    <w:rsid w:val="00E636BC"/>
    <w:rsid w:val="00E63B11"/>
    <w:rsid w:val="00E64000"/>
    <w:rsid w:val="00E64202"/>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0AA"/>
    <w:rsid w:val="00E80172"/>
    <w:rsid w:val="00E803B7"/>
    <w:rsid w:val="00E80BF6"/>
    <w:rsid w:val="00E80C88"/>
    <w:rsid w:val="00E80DA9"/>
    <w:rsid w:val="00E80F13"/>
    <w:rsid w:val="00E81387"/>
    <w:rsid w:val="00E813AD"/>
    <w:rsid w:val="00E817ED"/>
    <w:rsid w:val="00E81D98"/>
    <w:rsid w:val="00E820F8"/>
    <w:rsid w:val="00E82644"/>
    <w:rsid w:val="00E82B09"/>
    <w:rsid w:val="00E82F23"/>
    <w:rsid w:val="00E82FE3"/>
    <w:rsid w:val="00E835CA"/>
    <w:rsid w:val="00E837DA"/>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8CB"/>
    <w:rsid w:val="00EA3AEF"/>
    <w:rsid w:val="00EA3E56"/>
    <w:rsid w:val="00EA412A"/>
    <w:rsid w:val="00EA4178"/>
    <w:rsid w:val="00EA4970"/>
    <w:rsid w:val="00EA4C56"/>
    <w:rsid w:val="00EA4EE2"/>
    <w:rsid w:val="00EA512E"/>
    <w:rsid w:val="00EA5522"/>
    <w:rsid w:val="00EA5919"/>
    <w:rsid w:val="00EA5D57"/>
    <w:rsid w:val="00EA5D61"/>
    <w:rsid w:val="00EA5DDF"/>
    <w:rsid w:val="00EA61D3"/>
    <w:rsid w:val="00EA67CE"/>
    <w:rsid w:val="00EA72C6"/>
    <w:rsid w:val="00EA7363"/>
    <w:rsid w:val="00EA7B5C"/>
    <w:rsid w:val="00EB0BD6"/>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72B"/>
    <w:rsid w:val="00EB6935"/>
    <w:rsid w:val="00EB69C9"/>
    <w:rsid w:val="00EB69CB"/>
    <w:rsid w:val="00EB6F1E"/>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326"/>
    <w:rsid w:val="00EE5C91"/>
    <w:rsid w:val="00EE6047"/>
    <w:rsid w:val="00EE6159"/>
    <w:rsid w:val="00EE6C01"/>
    <w:rsid w:val="00EE7000"/>
    <w:rsid w:val="00EE71F1"/>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442B"/>
    <w:rsid w:val="00EF4674"/>
    <w:rsid w:val="00EF4775"/>
    <w:rsid w:val="00EF4837"/>
    <w:rsid w:val="00EF54E7"/>
    <w:rsid w:val="00EF5AB8"/>
    <w:rsid w:val="00EF5BE7"/>
    <w:rsid w:val="00EF5D7F"/>
    <w:rsid w:val="00EF6090"/>
    <w:rsid w:val="00EF6315"/>
    <w:rsid w:val="00EF66D0"/>
    <w:rsid w:val="00EF7956"/>
    <w:rsid w:val="00F0034A"/>
    <w:rsid w:val="00F00669"/>
    <w:rsid w:val="00F00670"/>
    <w:rsid w:val="00F0069D"/>
    <w:rsid w:val="00F00A3A"/>
    <w:rsid w:val="00F00C08"/>
    <w:rsid w:val="00F0111D"/>
    <w:rsid w:val="00F01B47"/>
    <w:rsid w:val="00F021D3"/>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EA4"/>
    <w:rsid w:val="00F06046"/>
    <w:rsid w:val="00F0633A"/>
    <w:rsid w:val="00F06A6F"/>
    <w:rsid w:val="00F06DB1"/>
    <w:rsid w:val="00F07780"/>
    <w:rsid w:val="00F07ADA"/>
    <w:rsid w:val="00F07C3C"/>
    <w:rsid w:val="00F07F5F"/>
    <w:rsid w:val="00F10313"/>
    <w:rsid w:val="00F10319"/>
    <w:rsid w:val="00F107CF"/>
    <w:rsid w:val="00F1098E"/>
    <w:rsid w:val="00F10C31"/>
    <w:rsid w:val="00F11344"/>
    <w:rsid w:val="00F1145F"/>
    <w:rsid w:val="00F11560"/>
    <w:rsid w:val="00F11AE0"/>
    <w:rsid w:val="00F11B0C"/>
    <w:rsid w:val="00F11D56"/>
    <w:rsid w:val="00F123EC"/>
    <w:rsid w:val="00F12B7C"/>
    <w:rsid w:val="00F12BB8"/>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7752"/>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30"/>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BC4"/>
    <w:rsid w:val="00F31018"/>
    <w:rsid w:val="00F31256"/>
    <w:rsid w:val="00F31913"/>
    <w:rsid w:val="00F31F56"/>
    <w:rsid w:val="00F32CB3"/>
    <w:rsid w:val="00F32E03"/>
    <w:rsid w:val="00F3319A"/>
    <w:rsid w:val="00F331DD"/>
    <w:rsid w:val="00F34054"/>
    <w:rsid w:val="00F34635"/>
    <w:rsid w:val="00F34A54"/>
    <w:rsid w:val="00F34EA0"/>
    <w:rsid w:val="00F34F52"/>
    <w:rsid w:val="00F34F85"/>
    <w:rsid w:val="00F3505A"/>
    <w:rsid w:val="00F35669"/>
    <w:rsid w:val="00F35C6A"/>
    <w:rsid w:val="00F36499"/>
    <w:rsid w:val="00F36B7B"/>
    <w:rsid w:val="00F3731F"/>
    <w:rsid w:val="00F374D0"/>
    <w:rsid w:val="00F404DE"/>
    <w:rsid w:val="00F407EE"/>
    <w:rsid w:val="00F40A99"/>
    <w:rsid w:val="00F40AB2"/>
    <w:rsid w:val="00F40AF9"/>
    <w:rsid w:val="00F40CEB"/>
    <w:rsid w:val="00F40ED4"/>
    <w:rsid w:val="00F4102E"/>
    <w:rsid w:val="00F411B2"/>
    <w:rsid w:val="00F414AE"/>
    <w:rsid w:val="00F4172D"/>
    <w:rsid w:val="00F418D9"/>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BED"/>
    <w:rsid w:val="00F53C50"/>
    <w:rsid w:val="00F53EC2"/>
    <w:rsid w:val="00F541E4"/>
    <w:rsid w:val="00F54675"/>
    <w:rsid w:val="00F54810"/>
    <w:rsid w:val="00F54C34"/>
    <w:rsid w:val="00F54CEB"/>
    <w:rsid w:val="00F551D4"/>
    <w:rsid w:val="00F551DC"/>
    <w:rsid w:val="00F5561A"/>
    <w:rsid w:val="00F55CB2"/>
    <w:rsid w:val="00F55E5A"/>
    <w:rsid w:val="00F55FC3"/>
    <w:rsid w:val="00F56149"/>
    <w:rsid w:val="00F56731"/>
    <w:rsid w:val="00F56850"/>
    <w:rsid w:val="00F57572"/>
    <w:rsid w:val="00F5797A"/>
    <w:rsid w:val="00F600C3"/>
    <w:rsid w:val="00F60283"/>
    <w:rsid w:val="00F60A83"/>
    <w:rsid w:val="00F60B66"/>
    <w:rsid w:val="00F60BF5"/>
    <w:rsid w:val="00F61166"/>
    <w:rsid w:val="00F6245C"/>
    <w:rsid w:val="00F62B05"/>
    <w:rsid w:val="00F62BB6"/>
    <w:rsid w:val="00F62E11"/>
    <w:rsid w:val="00F63205"/>
    <w:rsid w:val="00F632A0"/>
    <w:rsid w:val="00F65473"/>
    <w:rsid w:val="00F65EDB"/>
    <w:rsid w:val="00F66093"/>
    <w:rsid w:val="00F660F0"/>
    <w:rsid w:val="00F662AC"/>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D5A"/>
    <w:rsid w:val="00F84EA9"/>
    <w:rsid w:val="00F8532B"/>
    <w:rsid w:val="00F85465"/>
    <w:rsid w:val="00F874CB"/>
    <w:rsid w:val="00F876CA"/>
    <w:rsid w:val="00F87A68"/>
    <w:rsid w:val="00F9001E"/>
    <w:rsid w:val="00F90D11"/>
    <w:rsid w:val="00F91074"/>
    <w:rsid w:val="00F9117E"/>
    <w:rsid w:val="00F91E16"/>
    <w:rsid w:val="00F923BC"/>
    <w:rsid w:val="00F92606"/>
    <w:rsid w:val="00F92BC3"/>
    <w:rsid w:val="00F92CE8"/>
    <w:rsid w:val="00F92EFE"/>
    <w:rsid w:val="00F934E4"/>
    <w:rsid w:val="00F938B5"/>
    <w:rsid w:val="00F93A05"/>
    <w:rsid w:val="00F9442C"/>
    <w:rsid w:val="00F944BD"/>
    <w:rsid w:val="00F946A1"/>
    <w:rsid w:val="00F94710"/>
    <w:rsid w:val="00F94C56"/>
    <w:rsid w:val="00F95082"/>
    <w:rsid w:val="00F95363"/>
    <w:rsid w:val="00F9543D"/>
    <w:rsid w:val="00F95BD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203"/>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92"/>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A13"/>
    <w:rsid w:val="00FD1E48"/>
    <w:rsid w:val="00FD274A"/>
    <w:rsid w:val="00FD324D"/>
    <w:rsid w:val="00FD360C"/>
    <w:rsid w:val="00FD3B55"/>
    <w:rsid w:val="00FD437B"/>
    <w:rsid w:val="00FD43A0"/>
    <w:rsid w:val="00FD4859"/>
    <w:rsid w:val="00FD54F6"/>
    <w:rsid w:val="00FD5511"/>
    <w:rsid w:val="00FD5C39"/>
    <w:rsid w:val="00FD6104"/>
    <w:rsid w:val="00FD62DE"/>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F90"/>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9E2D03"/>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270AD5"/>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D5AE3"/>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30109B"/>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241704"/>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E7001E"/>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1056F"/>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EF5B7B"/>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4FA0A25"/>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796E5D"/>
    <w:rsid w:val="4D993267"/>
    <w:rsid w:val="4DA1355F"/>
    <w:rsid w:val="4DA537BB"/>
    <w:rsid w:val="4DF67531"/>
    <w:rsid w:val="4DF9062B"/>
    <w:rsid w:val="4E014EF8"/>
    <w:rsid w:val="4E066E93"/>
    <w:rsid w:val="4E1D7E77"/>
    <w:rsid w:val="4E236A05"/>
    <w:rsid w:val="4E51451A"/>
    <w:rsid w:val="4E6D69C9"/>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AC3EF1"/>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B2F0E8-BE3A-41A4-B5B1-C824325A7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table" w:customStyle="1" w:styleId="TableGrid1">
    <w:name w:val="Table Grid1"/>
    <w:basedOn w:val="TableNormal"/>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2042</Words>
  <Characters>11642</Characters>
  <Application>Microsoft Office Word</Application>
  <DocSecurity>0</DocSecurity>
  <Lines>97</Lines>
  <Paragraphs>27</Paragraphs>
  <ScaleCrop>false</ScaleCrop>
  <Company>www.zte.com.cn</Company>
  <LinksUpToDate>false</LinksUpToDate>
  <CharactersWithSpaces>13657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339</cp:revision>
  <dcterms:created xsi:type="dcterms:W3CDTF">2019-02-22T08:49:00Z</dcterms:created>
  <dcterms:modified xsi:type="dcterms:W3CDTF">2019-03-29T13:08:00Z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